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黑体" w:hAnsi="黑体" w:eastAsia="黑体"/>
          <w:b/>
          <w:sz w:val="32"/>
        </w:rPr>
        <w:t>庭审准备报告</w:t>
      </w:r>
    </w:p>
    <w:p>
      <w:r>
        <w:rPr>
          <w:rFonts w:ascii="宋体" w:hAnsi="宋体" w:eastAsia="宋体"/>
          <w:b/>
          <w:sz w:val="24"/>
        </w:rPr>
        <w:t>案号</w:t>
      </w:r>
      <w:r>
        <w:rPr>
          <w:rFonts w:ascii="宋体" w:hAnsi="宋体" w:eastAsia="宋体"/>
          <w:b w:val="0"/>
          <w:sz w:val="24"/>
        </w:rPr>
        <w:t>：二审上诉案，一审案号：(2025)黔0325民初230号之一</w:t>
      </w:r>
    </w:p>
    <w:p>
      <w:r>
        <w:rPr>
          <w:rFonts w:ascii="宋体" w:hAnsi="宋体" w:eastAsia="宋体"/>
          <w:b/>
          <w:sz w:val="24"/>
        </w:rPr>
        <w:t>案由</w:t>
      </w:r>
      <w:r>
        <w:rPr>
          <w:rFonts w:ascii="宋体" w:hAnsi="宋体" w:eastAsia="宋体"/>
          <w:b w:val="0"/>
          <w:sz w:val="24"/>
        </w:rPr>
        <w:t>：合同纠纷（上诉驳回起诉裁定异议）</w:t>
      </w:r>
    </w:p>
    <w:p>
      <w:r>
        <w:rPr>
          <w:rFonts w:ascii="宋体" w:hAnsi="宋体" w:eastAsia="宋体"/>
          <w:b/>
          <w:sz w:val="24"/>
        </w:rPr>
        <w:t>审理法院</w:t>
      </w:r>
      <w:r>
        <w:rPr>
          <w:rFonts w:ascii="宋体" w:hAnsi="宋体" w:eastAsia="宋体"/>
          <w:b w:val="0"/>
          <w:sz w:val="24"/>
        </w:rPr>
        <w:t>：贵州省遵义市中级人民法院（二审法院）</w:t>
      </w:r>
    </w:p>
    <w:p>
      <w:r>
        <w:rPr>
          <w:rFonts w:ascii="宋体" w:hAnsi="宋体" w:eastAsia="宋体"/>
          <w:b/>
          <w:sz w:val="24"/>
        </w:rPr>
        <w:t>开庭时间</w:t>
      </w:r>
      <w:r>
        <w:rPr>
          <w:rFonts w:ascii="宋体" w:hAnsi="宋体" w:eastAsia="宋体"/>
          <w:b w:val="0"/>
          <w:sz w:val="24"/>
        </w:rPr>
        <w:t xml:space="preserve">：______  </w:t>
      </w:r>
      <w:r>
        <w:rPr>
          <w:rFonts w:ascii="宋体" w:hAnsi="宋体" w:eastAsia="宋体"/>
          <w:b/>
          <w:sz w:val="24"/>
        </w:rPr>
        <w:t>法庭</w:t>
      </w:r>
      <w:r>
        <w:rPr>
          <w:rFonts w:ascii="宋体" w:hAnsi="宋体" w:eastAsia="宋体"/>
          <w:b w:val="0"/>
          <w:sz w:val="24"/>
        </w:rPr>
        <w:t xml:space="preserve">：______  </w:t>
      </w:r>
      <w:r>
        <w:rPr>
          <w:rFonts w:ascii="宋体" w:hAnsi="宋体" w:eastAsia="宋体"/>
          <w:b/>
          <w:sz w:val="24"/>
        </w:rPr>
        <w:t>承办法官</w:t>
      </w:r>
      <w:r>
        <w:rPr>
          <w:rFonts w:ascii="宋体" w:hAnsi="宋体" w:eastAsia="宋体"/>
          <w:b w:val="0"/>
          <w:sz w:val="24"/>
        </w:rPr>
        <w:t>：______</w:t>
      </w:r>
    </w:p>
    <w:p>
      <w:r>
        <w:rPr>
          <w:rFonts w:ascii="宋体" w:hAnsi="宋体" w:eastAsia="宋体"/>
          <w:b/>
          <w:sz w:val="24"/>
        </w:rPr>
        <w:t>生成时间</w:t>
      </w:r>
      <w:r>
        <w:rPr>
          <w:rFonts w:ascii="宋体" w:hAnsi="宋体" w:eastAsia="宋体"/>
          <w:b w:val="0"/>
          <w:sz w:val="24"/>
        </w:rPr>
        <w:t xml:space="preserve">：2026年05月16日 ｜ </w:t>
      </w:r>
      <w:r>
        <w:rPr>
          <w:rFonts w:ascii="宋体" w:hAnsi="宋体" w:eastAsia="宋体"/>
          <w:b/>
          <w:sz w:val="24"/>
        </w:rPr>
        <w:t>知识库命中</w:t>
      </w:r>
      <w:r>
        <w:rPr>
          <w:rFonts w:ascii="宋体" w:hAnsi="宋体" w:eastAsia="宋体"/>
          <w:b w:val="0"/>
          <w:sz w:val="24"/>
        </w:rPr>
        <w:t>：⚠️ 部分（需补充法条库检索）</w:t>
      </w:r>
    </w:p>
    <w:p>
      <w:r>
        <w:rPr>
          <w:rFonts w:ascii="宋体" w:hAnsi="宋体" w:eastAsia="宋体"/>
          <w:b/>
          <w:sz w:val="24"/>
        </w:rPr>
        <w:t>案件阶段</w:t>
      </w:r>
      <w:r>
        <w:rPr>
          <w:rFonts w:ascii="宋体" w:hAnsi="宋体" w:eastAsia="宋体"/>
          <w:b w:val="0"/>
          <w:sz w:val="24"/>
        </w:rPr>
        <w:t>：二审（上诉审理程序，针对一审驳回起诉裁定不服）</w:t>
      </w:r>
    </w:p>
    <w:p>
      <w:pPr>
        <w:pStyle w:val="Heading2"/>
        <w:jc w:val="left"/>
      </w:pPr>
      <w:r>
        <w:rPr>
          <w:rFonts w:ascii="黑体" w:hAnsi="黑体" w:eastAsia="黑体"/>
          <w:b/>
          <w:sz w:val="28"/>
        </w:rPr>
        <w:t>1. 双方主体信息</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Pr>
                <w:rFonts w:ascii="黑体" w:hAnsi="黑体" w:eastAsia="黑体"/>
                <w:b/>
                <w:sz w:val="20"/>
              </w:rPr>
              <w:t>项目</w:t>
            </w:r>
          </w:p>
        </w:tc>
        <w:tc>
          <w:tcPr>
            <w:tcW w:type="dxa" w:w="2882"/>
          </w:tcPr>
          <w:p>
            <w:pPr>
              <w:jc w:val="center"/>
            </w:pPr>
            <w:r>
              <w:rPr>
                <w:rFonts w:ascii="黑体" w:hAnsi="黑体" w:eastAsia="黑体"/>
                <w:b/>
                <w:sz w:val="20"/>
              </w:rPr>
              <w:t>上诉人（一审原告）</w:t>
            </w:r>
          </w:p>
        </w:tc>
        <w:tc>
          <w:tcPr>
            <w:tcW w:type="dxa" w:w="2882"/>
          </w:tcPr>
          <w:p>
            <w:pPr>
              <w:jc w:val="center"/>
            </w:pPr>
            <w:r>
              <w:rPr>
                <w:rFonts w:ascii="黑体" w:hAnsi="黑体" w:eastAsia="黑体"/>
                <w:b/>
                <w:sz w:val="20"/>
              </w:rPr>
              <w:t>被上诉人（一审被告）</w:t>
            </w:r>
          </w:p>
        </w:tc>
      </w:tr>
      <w:tr>
        <w:tc>
          <w:tcPr>
            <w:tcW w:type="dxa" w:w="2882"/>
          </w:tcPr>
          <w:p>
            <w:r>
              <w:rPr>
                <w:rFonts w:ascii="宋体" w:hAnsi="宋体" w:eastAsia="宋体"/>
                <w:b w:val="0"/>
                <w:sz w:val="20"/>
              </w:rPr>
              <w:t>名称</w:t>
            </w:r>
          </w:p>
        </w:tc>
        <w:tc>
          <w:tcPr>
            <w:tcW w:type="dxa" w:w="2882"/>
          </w:tcPr>
          <w:p>
            <w:r>
              <w:rPr>
                <w:rFonts w:ascii="宋体" w:hAnsi="宋体" w:eastAsia="宋体"/>
                <w:b w:val="0"/>
                <w:sz w:val="20"/>
              </w:rPr>
              <w:t>贵州省厚德公益基金会</w:t>
            </w:r>
          </w:p>
        </w:tc>
        <w:tc>
          <w:tcPr>
            <w:tcW w:type="dxa" w:w="2882"/>
          </w:tcPr>
          <w:p>
            <w:r>
              <w:rPr>
                <w:rFonts w:ascii="宋体" w:hAnsi="宋体" w:eastAsia="宋体"/>
                <w:b w:val="0"/>
                <w:sz w:val="20"/>
              </w:rPr>
              <w:t>①道真仡佬族苗族自治县百益社会工作服务中心&lt;br&gt;②李丽&lt;br&gt;③李佳豪</w:t>
            </w:r>
          </w:p>
        </w:tc>
      </w:tr>
      <w:tr>
        <w:tc>
          <w:tcPr>
            <w:tcW w:type="dxa" w:w="2882"/>
          </w:tcPr>
          <w:p>
            <w:r>
              <w:rPr>
                <w:rFonts w:ascii="宋体" w:hAnsi="宋体" w:eastAsia="宋体"/>
                <w:b w:val="0"/>
                <w:sz w:val="20"/>
              </w:rPr>
              <w:t>主体性质</w:t>
            </w:r>
          </w:p>
        </w:tc>
        <w:tc>
          <w:tcPr>
            <w:tcW w:type="dxa" w:w="2882"/>
          </w:tcPr>
          <w:p>
            <w:r>
              <w:rPr>
                <w:rFonts w:ascii="宋体" w:hAnsi="宋体" w:eastAsia="宋体"/>
                <w:b w:val="0"/>
                <w:sz w:val="20"/>
              </w:rPr>
              <w:t>慈善组织/基金会法人</w:t>
            </w:r>
          </w:p>
        </w:tc>
        <w:tc>
          <w:tcPr>
            <w:tcW w:type="dxa" w:w="2882"/>
          </w:tcPr>
          <w:p>
            <w:r>
              <w:rPr>
                <w:rFonts w:ascii="宋体" w:hAnsi="宋体" w:eastAsia="宋体"/>
                <w:b w:val="0"/>
                <w:sz w:val="20"/>
              </w:rPr>
              <w:t>①社会团体法人&lt;br&gt;②自然人&lt;br&gt;③自然人</w:t>
            </w:r>
          </w:p>
        </w:tc>
      </w:tr>
      <w:tr>
        <w:tc>
          <w:tcPr>
            <w:tcW w:type="dxa" w:w="2882"/>
          </w:tcPr>
          <w:p>
            <w:r>
              <w:rPr>
                <w:rFonts w:ascii="宋体" w:hAnsi="宋体" w:eastAsia="宋体"/>
                <w:b w:val="0"/>
                <w:sz w:val="20"/>
              </w:rPr>
              <w:t>统一信用代码/身份证</w:t>
            </w:r>
          </w:p>
        </w:tc>
        <w:tc>
          <w:tcPr>
            <w:tcW w:type="dxa" w:w="2882"/>
          </w:tcPr>
          <w:p>
            <w:r>
              <w:rPr>
                <w:rFonts w:ascii="宋体" w:hAnsi="宋体" w:eastAsia="宋体"/>
                <w:b w:val="0"/>
                <w:sz w:val="20"/>
              </w:rPr>
              <w:t>535200003373343804</w:t>
            </w:r>
          </w:p>
        </w:tc>
        <w:tc>
          <w:tcPr>
            <w:tcW w:type="dxa" w:w="2882"/>
          </w:tcPr>
          <w:p>
            <w:r>
              <w:rPr>
                <w:rFonts w:ascii="宋体" w:hAnsi="宋体" w:eastAsia="宋体"/>
                <w:b w:val="0"/>
                <w:sz w:val="20"/>
              </w:rPr>
              <w:t>①52520325MJR938769M&lt;br&gt;②5</w:t>
            </w:r>
            <w:r>
              <w:rPr>
                <w:rFonts w:ascii="宋体" w:hAnsi="宋体" w:eastAsia="宋体"/>
                <w:b/>
                <w:sz w:val="20"/>
              </w:rPr>
              <w:t>**199410062441&lt;br&gt;③5</w:t>
            </w:r>
            <w:r>
              <w:rPr>
                <w:rFonts w:ascii="宋体" w:hAnsi="宋体" w:eastAsia="宋体"/>
                <w:b w:val="0"/>
                <w:sz w:val="20"/>
              </w:rPr>
              <w:t>**200207243111</w:t>
            </w:r>
          </w:p>
        </w:tc>
      </w:tr>
      <w:tr>
        <w:tc>
          <w:tcPr>
            <w:tcW w:type="dxa" w:w="2882"/>
          </w:tcPr>
          <w:p>
            <w:r>
              <w:rPr>
                <w:rFonts w:ascii="宋体" w:hAnsi="宋体" w:eastAsia="宋体"/>
                <w:b w:val="0"/>
                <w:sz w:val="20"/>
              </w:rPr>
              <w:t>法定代表人/负责人</w:t>
            </w:r>
          </w:p>
        </w:tc>
        <w:tc>
          <w:tcPr>
            <w:tcW w:type="dxa" w:w="2882"/>
          </w:tcPr>
          <w:p>
            <w:r>
              <w:rPr>
                <w:rFonts w:ascii="宋体" w:hAnsi="宋体" w:eastAsia="宋体"/>
                <w:b w:val="0"/>
                <w:sz w:val="20"/>
              </w:rPr>
              <w:t>刘桂湘</w:t>
            </w:r>
          </w:p>
        </w:tc>
        <w:tc>
          <w:tcPr>
            <w:tcW w:type="dxa" w:w="2882"/>
          </w:tcPr>
          <w:p>
            <w:r>
              <w:rPr>
                <w:rFonts w:ascii="宋体" w:hAnsi="宋体" w:eastAsia="宋体"/>
                <w:b w:val="0"/>
                <w:sz w:val="20"/>
              </w:rPr>
              <w:t>①李丽（法定代表人）&lt;br&gt;②—&lt;br&gt;③—</w:t>
            </w:r>
          </w:p>
        </w:tc>
      </w:tr>
      <w:tr>
        <w:tc>
          <w:tcPr>
            <w:tcW w:type="dxa" w:w="2882"/>
          </w:tcPr>
          <w:p>
            <w:r>
              <w:rPr>
                <w:rFonts w:ascii="宋体" w:hAnsi="宋体" w:eastAsia="宋体"/>
                <w:b w:val="0"/>
                <w:sz w:val="20"/>
              </w:rPr>
              <w:t>送达地址</w:t>
            </w:r>
          </w:p>
        </w:tc>
        <w:tc>
          <w:tcPr>
            <w:tcW w:type="dxa" w:w="2882"/>
          </w:tcPr>
          <w:p>
            <w:r>
              <w:rPr>
                <w:rFonts w:ascii="宋体" w:hAnsi="宋体" w:eastAsia="宋体"/>
                <w:b w:val="0"/>
                <w:sz w:val="20"/>
              </w:rPr>
              <w:t>贵州省贵阳市云岩区环城北路60号城市之光E栋30-2</w:t>
            </w:r>
          </w:p>
        </w:tc>
        <w:tc>
          <w:tcPr>
            <w:tcW w:type="dxa" w:w="2882"/>
          </w:tcPr>
          <w:p>
            <w:r>
              <w:rPr>
                <w:rFonts w:ascii="宋体" w:hAnsi="宋体" w:eastAsia="宋体"/>
                <w:b w:val="0"/>
                <w:sz w:val="20"/>
              </w:rPr>
              <w:t>①道真自治县上坝乡上玉工业园区工程技术大楼8楼&lt;br&gt;②重庆市武隆区浩口乡落心村棕嘴沟300号&lt;br&gt;③重庆市万州区天城东路458号2幢2单元3-1</w:t>
            </w:r>
          </w:p>
        </w:tc>
      </w:tr>
      <w:tr>
        <w:tc>
          <w:tcPr>
            <w:tcW w:type="dxa" w:w="2882"/>
          </w:tcPr>
          <w:p>
            <w:r>
              <w:rPr>
                <w:rFonts w:ascii="宋体" w:hAnsi="宋体" w:eastAsia="宋体"/>
                <w:b w:val="0"/>
                <w:sz w:val="20"/>
              </w:rPr>
              <w:t>联系电话</w:t>
            </w:r>
          </w:p>
        </w:tc>
        <w:tc>
          <w:tcPr>
            <w:tcW w:type="dxa" w:w="2882"/>
          </w:tcPr>
          <w:p>
            <w:r>
              <w:rPr>
                <w:rFonts w:ascii="宋体" w:hAnsi="宋体" w:eastAsia="宋体"/>
                <w:b w:val="0"/>
                <w:sz w:val="20"/>
              </w:rPr>
              <w:t>—</w:t>
            </w:r>
          </w:p>
        </w:tc>
        <w:tc>
          <w:tcPr>
            <w:tcW w:type="dxa" w:w="2882"/>
          </w:tcPr>
          <w:p>
            <w:r>
              <w:rPr>
                <w:rFonts w:ascii="宋体" w:hAnsi="宋体" w:eastAsia="宋体"/>
                <w:b w:val="0"/>
                <w:sz w:val="20"/>
              </w:rPr>
              <w:t>②181</w:t>
            </w:r>
            <w:r>
              <w:rPr>
                <w:rFonts w:ascii="宋体" w:hAnsi="宋体" w:eastAsia="宋体"/>
                <w:b/>
                <w:sz w:val="20"/>
              </w:rPr>
              <w:t>**5380&lt;br&gt;③136</w:t>
            </w:r>
            <w:r>
              <w:rPr>
                <w:rFonts w:ascii="宋体" w:hAnsi="宋体" w:eastAsia="宋体"/>
                <w:b w:val="0"/>
                <w:sz w:val="20"/>
              </w:rPr>
              <w:t>**4964</w:t>
            </w:r>
          </w:p>
        </w:tc>
      </w:tr>
    </w:tbl>
    <w:p>
      <w:pPr>
        <w:pStyle w:val="Heading2"/>
        <w:jc w:val="left"/>
      </w:pPr>
      <w:r>
        <w:rPr>
          <w:rFonts w:ascii="黑体" w:hAnsi="黑体" w:eastAsia="黑体"/>
          <w:b/>
          <w:sz w:val="28"/>
        </w:rPr>
        <w:t>2. 案情概要</w:t>
      </w:r>
    </w:p>
    <w:p>
      <w:pPr>
        <w:pStyle w:val="Heading3"/>
        <w:jc w:val="left"/>
      </w:pPr>
      <w:r>
        <w:rPr>
          <w:rFonts w:ascii="黑体" w:hAnsi="黑体" w:eastAsia="黑体"/>
          <w:b/>
          <w:sz w:val="26"/>
        </w:rPr>
        <w:t>2.1 事实时间线</w:t>
      </w:r>
    </w:p>
    <w:p>
      <w:pPr>
        <w:ind w:left="567"/>
      </w:pPr>
      <w:r>
        <w:rPr>
          <w:rFonts w:ascii="Consolas" w:hAnsi="Consolas" w:eastAsia="Consolas"/>
          <w:b w:val="0"/>
          <w:sz w:val="20"/>
        </w:rPr>
        <w:t>签约阶段：</w:t>
      </w:r>
    </w:p>
    <w:p>
      <w:pPr>
        <w:ind w:left="567"/>
      </w:pPr>
      <w:r>
        <w:rPr>
          <w:rFonts w:ascii="Consolas" w:hAnsi="Consolas" w:eastAsia="Consolas"/>
          <w:b w:val="0"/>
          <w:sz w:val="20"/>
        </w:rPr>
        <w:t xml:space="preserve">  厚德基金会与百益服务中心签订《社工黔行·爱助益餐项目合作协议书》</w:t>
      </w:r>
    </w:p>
    <w:p>
      <w:pPr>
        <w:ind w:left="567"/>
      </w:pPr>
      <w:r>
        <w:rPr>
          <w:rFonts w:ascii="Consolas" w:hAnsi="Consolas" w:eastAsia="Consolas"/>
          <w:b w:val="0"/>
          <w:sz w:val="20"/>
        </w:rPr>
        <w:t xml:space="preserve">  签订《贵州省厚德公益基金会公益筹款项目捐赠协议书》</w:t>
      </w:r>
    </w:p>
    <w:p>
      <w:pPr>
        <w:ind w:left="567"/>
      </w:pPr>
      <w:r>
        <w:rPr>
          <w:rFonts w:ascii="Consolas" w:hAnsi="Consolas" w:eastAsia="Consolas"/>
          <w:b w:val="0"/>
          <w:sz w:val="20"/>
        </w:rPr>
        <w:t xml:space="preserve">        ↓</w:t>
      </w:r>
    </w:p>
    <w:p>
      <w:pPr>
        <w:ind w:left="567"/>
      </w:pPr>
      <w:r>
        <w:rPr>
          <w:rFonts w:ascii="Consolas" w:hAnsi="Consolas" w:eastAsia="Consolas"/>
          <w:b w:val="0"/>
          <w:sz w:val="20"/>
        </w:rPr>
        <w:t>履行阶段：</w:t>
      </w:r>
    </w:p>
    <w:p>
      <w:pPr>
        <w:ind w:left="567"/>
      </w:pPr>
      <w:r>
        <w:rPr>
          <w:rFonts w:ascii="Consolas" w:hAnsi="Consolas" w:eastAsia="Consolas"/>
          <w:b w:val="0"/>
          <w:sz w:val="20"/>
        </w:rPr>
        <w:t xml:space="preserve">  厚德基金会依约将善款支付至百益服务中心，专项用于"社工黔行·爱助益餐"慈善项目</w:t>
      </w:r>
    </w:p>
    <w:p>
      <w:pPr>
        <w:ind w:left="567"/>
      </w:pPr>
      <w:r>
        <w:rPr>
          <w:rFonts w:ascii="Consolas" w:hAnsi="Consolas" w:eastAsia="Consolas"/>
          <w:b w:val="0"/>
          <w:sz w:val="20"/>
        </w:rPr>
        <w:t xml:space="preserve">  百益服务中心实际开展该项目，为社区老人提供免费食堂餐饮服务</w:t>
      </w:r>
    </w:p>
    <w:p>
      <w:pPr>
        <w:ind w:left="567"/>
      </w:pPr>
      <w:r>
        <w:rPr>
          <w:rFonts w:ascii="Consolas" w:hAnsi="Consolas" w:eastAsia="Consolas"/>
          <w:b w:val="0"/>
          <w:sz w:val="20"/>
        </w:rPr>
        <w:t xml:space="preserve">        ↓</w:t>
      </w:r>
    </w:p>
    <w:p>
      <w:pPr>
        <w:ind w:left="567"/>
      </w:pPr>
      <w:r>
        <w:rPr>
          <w:rFonts w:ascii="Consolas" w:hAnsi="Consolas" w:eastAsia="Consolas"/>
          <w:b w:val="0"/>
          <w:sz w:val="20"/>
        </w:rPr>
        <w:t>一审阶段：</w:t>
      </w:r>
    </w:p>
    <w:p>
      <w:pPr>
        <w:ind w:left="567"/>
      </w:pPr>
      <w:r>
        <w:rPr>
          <w:rFonts w:ascii="Consolas" w:hAnsi="Consolas" w:eastAsia="Consolas"/>
          <w:b w:val="0"/>
          <w:sz w:val="20"/>
        </w:rPr>
        <w:t xml:space="preserve">  厚德基金会对百益服务中心、李丽、李佳豪提起诉讼（案号：(2025)黔0325民初230号）</w:t>
      </w:r>
    </w:p>
    <w:p>
      <w:pPr>
        <w:ind w:left="567"/>
      </w:pPr>
      <w:r>
        <w:rPr>
          <w:rFonts w:ascii="Consolas" w:hAnsi="Consolas" w:eastAsia="Consolas"/>
          <w:b w:val="0"/>
          <w:sz w:val="20"/>
        </w:rPr>
        <w:t xml:space="preserve">  2025年2月25日：道真县人民法院开庭审理，庭审中双方均未提交《公益理财服务协议》</w:t>
      </w:r>
    </w:p>
    <w:p>
      <w:pPr>
        <w:ind w:left="567"/>
      </w:pPr>
      <w:r>
        <w:rPr>
          <w:rFonts w:ascii="Consolas" w:hAnsi="Consolas" w:eastAsia="Consolas"/>
          <w:b w:val="0"/>
          <w:sz w:val="20"/>
        </w:rPr>
        <w:t xml:space="preserve">        ↓</w:t>
      </w:r>
    </w:p>
    <w:p>
      <w:pPr>
        <w:ind w:left="567"/>
      </w:pPr>
      <w:r>
        <w:rPr>
          <w:rFonts w:ascii="Consolas" w:hAnsi="Consolas" w:eastAsia="Consolas"/>
          <w:b w:val="0"/>
          <w:sz w:val="20"/>
        </w:rPr>
        <w:t>一审裁定：</w:t>
      </w:r>
    </w:p>
    <w:p>
      <w:pPr>
        <w:ind w:left="567"/>
      </w:pPr>
      <w:r>
        <w:rPr>
          <w:rFonts w:ascii="Consolas" w:hAnsi="Consolas" w:eastAsia="Consolas"/>
          <w:b w:val="0"/>
          <w:sz w:val="20"/>
        </w:rPr>
        <w:t xml:space="preserve">  道真县人民法院作出(2025)黔0325民初230号之一民事裁定书，裁定驳回起诉</w:t>
      </w:r>
    </w:p>
    <w:p>
      <w:pPr>
        <w:ind w:left="567"/>
      </w:pPr>
      <w:r>
        <w:rPr>
          <w:rFonts w:ascii="Consolas" w:hAnsi="Consolas" w:eastAsia="Consolas"/>
          <w:b w:val="0"/>
          <w:sz w:val="20"/>
        </w:rPr>
        <w:t xml:space="preserve">  裁定依据：采纳"百益服务中心与案外人孙某签订《公益理财服务协议》涉嫌经济犯罪"等事实</w:t>
      </w:r>
    </w:p>
    <w:p>
      <w:pPr>
        <w:ind w:left="567"/>
      </w:pPr>
      <w:r>
        <w:rPr>
          <w:rFonts w:ascii="Consolas" w:hAnsi="Consolas" w:eastAsia="Consolas"/>
          <w:b w:val="0"/>
          <w:sz w:val="20"/>
        </w:rPr>
        <w:t xml:space="preserve">        ↓</w:t>
      </w:r>
    </w:p>
    <w:p>
      <w:pPr>
        <w:ind w:left="567"/>
      </w:pPr>
      <w:r>
        <w:rPr>
          <w:rFonts w:ascii="Consolas" w:hAnsi="Consolas" w:eastAsia="Consolas"/>
          <w:b w:val="0"/>
          <w:sz w:val="20"/>
        </w:rPr>
        <w:t>上诉阶段：</w:t>
      </w:r>
    </w:p>
    <w:p>
      <w:pPr>
        <w:ind w:left="567"/>
      </w:pPr>
      <w:r>
        <w:rPr>
          <w:rFonts w:ascii="Consolas" w:hAnsi="Consolas" w:eastAsia="Consolas"/>
          <w:b w:val="0"/>
          <w:sz w:val="20"/>
        </w:rPr>
        <w:t xml:space="preserve">  2025年5月8日：厚德基金会提起上诉，上诉至遵义市中级人民法院</w:t>
      </w:r>
    </w:p>
    <w:p>
      <w:pPr>
        <w:ind w:left="567"/>
      </w:pPr>
      <w:r>
        <w:rPr>
          <w:rFonts w:ascii="Consolas" w:hAnsi="Consolas" w:eastAsia="Consolas"/>
          <w:b w:val="0"/>
          <w:sz w:val="20"/>
        </w:rPr>
        <w:t xml:space="preserve">        ↓</w:t>
      </w:r>
    </w:p>
    <w:p>
      <w:pPr>
        <w:ind w:left="567"/>
      </w:pPr>
      <w:r>
        <w:rPr>
          <w:rFonts w:ascii="Consolas" w:hAnsi="Consolas" w:eastAsia="Consolas"/>
          <w:b w:val="0"/>
          <w:sz w:val="20"/>
        </w:rPr>
        <w:t>二审阶段：</w:t>
      </w:r>
    </w:p>
    <w:p>
      <w:pPr>
        <w:ind w:left="567"/>
      </w:pPr>
      <w:r>
        <w:rPr>
          <w:rFonts w:ascii="Consolas" w:hAnsi="Consolas" w:eastAsia="Consolas"/>
          <w:b w:val="0"/>
          <w:sz w:val="20"/>
        </w:rPr>
        <w:t xml:space="preserve">  2026年__月__日：遵义市中级人民法院二审开庭（待定）</w:t>
      </w:r>
    </w:p>
    <w:p>
      <w:pPr>
        <w:pStyle w:val="Heading3"/>
        <w:jc w:val="left"/>
      </w:pPr>
      <w:r>
        <w:rPr>
          <w:rFonts w:ascii="黑体" w:hAnsi="黑体" w:eastAsia="黑体"/>
          <w:b/>
          <w:sz w:val="26"/>
        </w:rPr>
        <w:t>2.2 我方核心主张（一句话）</w:t>
      </w:r>
    </w:p>
    <w:p>
      <w:r>
        <w:rPr>
          <w:rFonts w:ascii="宋体" w:hAnsi="宋体" w:eastAsia="宋体"/>
          <w:b/>
          <w:sz w:val="24"/>
        </w:rPr>
        <w:t>一审裁定认定事实错误（采纳未经质证的案外人涉嫌犯罪事实）且适用法律错误（错误适用《经济犯罪嫌疑规定》第11条，应适用第1条或第10条分别审理），请求撤销一审裁定，指令继续审理。</w:t>
      </w:r>
    </w:p>
    <w:p>
      <w:pPr>
        <w:pStyle w:val="Heading3"/>
        <w:jc w:val="left"/>
      </w:pPr>
      <w:r>
        <w:rPr>
          <w:rFonts w:ascii="黑体" w:hAnsi="黑体" w:eastAsia="黑体"/>
          <w:b/>
          <w:sz w:val="26"/>
        </w:rPr>
        <w:t>2.3 争议焦点预判</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w:t>
            </w:r>
          </w:p>
        </w:tc>
        <w:tc>
          <w:tcPr>
            <w:tcW w:type="dxa" w:w="2161"/>
          </w:tcPr>
          <w:p>
            <w:pPr>
              <w:jc w:val="center"/>
            </w:pPr>
            <w:r>
              <w:rPr>
                <w:rFonts w:ascii="黑体" w:hAnsi="黑体" w:eastAsia="黑体"/>
                <w:b/>
                <w:sz w:val="20"/>
              </w:rPr>
              <w:t>争议焦点</w:t>
            </w:r>
          </w:p>
        </w:tc>
        <w:tc>
          <w:tcPr>
            <w:tcW w:type="dxa" w:w="2161"/>
          </w:tcPr>
          <w:p>
            <w:pPr>
              <w:jc w:val="center"/>
            </w:pPr>
            <w:r>
              <w:rPr>
                <w:rFonts w:ascii="黑体" w:hAnsi="黑体" w:eastAsia="黑体"/>
                <w:b/>
                <w:sz w:val="20"/>
              </w:rPr>
              <w:t>类型</w:t>
            </w:r>
          </w:p>
        </w:tc>
        <w:tc>
          <w:tcPr>
            <w:tcW w:type="dxa" w:w="2161"/>
          </w:tcPr>
          <w:p>
            <w:pPr>
              <w:jc w:val="center"/>
            </w:pPr>
            <w:r>
              <w:rPr>
                <w:rFonts w:ascii="黑体" w:hAnsi="黑体" w:eastAsia="黑体"/>
                <w:b/>
                <w:sz w:val="20"/>
              </w:rPr>
              <w:t>支撑材料</w:t>
            </w:r>
          </w:p>
        </w:tc>
      </w:tr>
      <w:tr>
        <w:tc>
          <w:tcPr>
            <w:tcW w:type="dxa" w:w="2161"/>
          </w:tcPr>
          <w:p>
            <w:r>
              <w:rPr>
                <w:rFonts w:ascii="宋体" w:hAnsi="宋体" w:eastAsia="宋体"/>
                <w:b w:val="0"/>
                <w:sz w:val="20"/>
              </w:rPr>
              <w:t>①</w:t>
            </w:r>
          </w:p>
        </w:tc>
        <w:tc>
          <w:tcPr>
            <w:tcW w:type="dxa" w:w="2161"/>
          </w:tcPr>
          <w:p>
            <w:r>
              <w:rPr>
                <w:rFonts w:ascii="宋体" w:hAnsi="宋体" w:eastAsia="宋体"/>
                <w:b w:val="0"/>
                <w:sz w:val="20"/>
              </w:rPr>
              <w:t>一审裁定所依据的"百益服务中心与案外人孙某签订《公益理财服务协议》涉嫌经济犯罪"事实，是否经过举证质证程序</w:t>
            </w:r>
          </w:p>
        </w:tc>
        <w:tc>
          <w:tcPr>
            <w:tcW w:type="dxa" w:w="2161"/>
          </w:tcPr>
          <w:p>
            <w:r>
              <w:rPr>
                <w:rFonts w:ascii="宋体" w:hAnsi="宋体" w:eastAsia="宋体"/>
                <w:b w:val="0"/>
                <w:sz w:val="20"/>
              </w:rPr>
              <w:t>事实争议</w:t>
            </w:r>
          </w:p>
        </w:tc>
        <w:tc>
          <w:tcPr>
            <w:tcW w:type="dxa" w:w="2161"/>
          </w:tcPr>
          <w:p>
            <w:r>
              <w:rPr>
                <w:rFonts w:ascii="宋体" w:hAnsi="宋体" w:eastAsia="宋体"/>
                <w:b w:val="0"/>
                <w:sz w:val="20"/>
              </w:rPr>
              <w:t>上诉状第1页；《庭审笔录》(2025.2.25)</w:t>
            </w:r>
          </w:p>
        </w:tc>
      </w:tr>
      <w:tr>
        <w:tc>
          <w:tcPr>
            <w:tcW w:type="dxa" w:w="2161"/>
          </w:tcPr>
          <w:p>
            <w:r>
              <w:rPr>
                <w:rFonts w:ascii="宋体" w:hAnsi="宋体" w:eastAsia="宋体"/>
                <w:b w:val="0"/>
                <w:sz w:val="20"/>
              </w:rPr>
              <w:t>②</w:t>
            </w:r>
          </w:p>
        </w:tc>
        <w:tc>
          <w:tcPr>
            <w:tcW w:type="dxa" w:w="2161"/>
          </w:tcPr>
          <w:p>
            <w:r>
              <w:rPr>
                <w:rFonts w:ascii="宋体" w:hAnsi="宋体" w:eastAsia="宋体"/>
                <w:b w:val="0"/>
                <w:sz w:val="20"/>
              </w:rPr>
              <w:t>一审裁定所依据的"马婵娟被立案侦查"事实，是否经过举证质证程序</w:t>
            </w:r>
          </w:p>
        </w:tc>
        <w:tc>
          <w:tcPr>
            <w:tcW w:type="dxa" w:w="2161"/>
          </w:tcPr>
          <w:p>
            <w:r>
              <w:rPr>
                <w:rFonts w:ascii="宋体" w:hAnsi="宋体" w:eastAsia="宋体"/>
                <w:b w:val="0"/>
                <w:sz w:val="20"/>
              </w:rPr>
              <w:t>事实争议</w:t>
            </w:r>
          </w:p>
        </w:tc>
        <w:tc>
          <w:tcPr>
            <w:tcW w:type="dxa" w:w="2161"/>
          </w:tcPr>
          <w:p>
            <w:r>
              <w:rPr>
                <w:rFonts w:ascii="宋体" w:hAnsi="宋体" w:eastAsia="宋体"/>
                <w:b w:val="0"/>
                <w:sz w:val="20"/>
              </w:rPr>
              <w:t>上诉状第1-2页</w:t>
            </w:r>
          </w:p>
        </w:tc>
      </w:tr>
      <w:tr>
        <w:tc>
          <w:tcPr>
            <w:tcW w:type="dxa" w:w="2161"/>
          </w:tcPr>
          <w:p>
            <w:r>
              <w:rPr>
                <w:rFonts w:ascii="宋体" w:hAnsi="宋体" w:eastAsia="宋体"/>
                <w:b w:val="0"/>
                <w:sz w:val="20"/>
              </w:rPr>
              <w:t>③</w:t>
            </w:r>
          </w:p>
        </w:tc>
        <w:tc>
          <w:tcPr>
            <w:tcW w:type="dxa" w:w="2161"/>
          </w:tcPr>
          <w:p>
            <w:r>
              <w:rPr>
                <w:rFonts w:ascii="宋体" w:hAnsi="宋体" w:eastAsia="宋体"/>
                <w:b w:val="0"/>
                <w:sz w:val="20"/>
              </w:rPr>
              <w:t>百益服务中心、李丽、李佳豪是否确实涉嫌经济犯罪</w:t>
            </w:r>
          </w:p>
        </w:tc>
        <w:tc>
          <w:tcPr>
            <w:tcW w:type="dxa" w:w="2161"/>
          </w:tcPr>
          <w:p>
            <w:r>
              <w:rPr>
                <w:rFonts w:ascii="宋体" w:hAnsi="宋体" w:eastAsia="宋体"/>
                <w:b w:val="0"/>
                <w:sz w:val="20"/>
              </w:rPr>
              <w:t>事实争议</w:t>
            </w:r>
          </w:p>
        </w:tc>
        <w:tc>
          <w:tcPr>
            <w:tcW w:type="dxa" w:w="2161"/>
          </w:tcPr>
          <w:p>
            <w:r>
              <w:rPr>
                <w:rFonts w:ascii="宋体" w:hAnsi="宋体" w:eastAsia="宋体"/>
                <w:b w:val="0"/>
                <w:sz w:val="20"/>
              </w:rPr>
              <w:t>上诉状第2页：三被上诉人均未被刑事立案侦查</w:t>
            </w:r>
          </w:p>
        </w:tc>
      </w:tr>
      <w:tr>
        <w:tc>
          <w:tcPr>
            <w:tcW w:type="dxa" w:w="2161"/>
          </w:tcPr>
          <w:p>
            <w:r>
              <w:rPr>
                <w:rFonts w:ascii="宋体" w:hAnsi="宋体" w:eastAsia="宋体"/>
                <w:b w:val="0"/>
                <w:sz w:val="20"/>
              </w:rPr>
              <w:t>④</w:t>
            </w:r>
          </w:p>
        </w:tc>
        <w:tc>
          <w:tcPr>
            <w:tcW w:type="dxa" w:w="2161"/>
          </w:tcPr>
          <w:p>
            <w:r>
              <w:rPr>
                <w:rFonts w:ascii="宋体" w:hAnsi="宋体" w:eastAsia="宋体"/>
                <w:b w:val="0"/>
                <w:sz w:val="20"/>
              </w:rPr>
              <w:t>本案应适用《经济犯罪嫌疑规定》第11条驳回起诉，还是适用第1条/第10条分别审理</w:t>
            </w:r>
          </w:p>
        </w:tc>
        <w:tc>
          <w:tcPr>
            <w:tcW w:type="dxa" w:w="2161"/>
          </w:tcPr>
          <w:p>
            <w:r>
              <w:rPr>
                <w:rFonts w:ascii="宋体" w:hAnsi="宋体" w:eastAsia="宋体"/>
                <w:b w:val="0"/>
                <w:sz w:val="20"/>
              </w:rPr>
              <w:t>法律争议</w:t>
            </w:r>
          </w:p>
        </w:tc>
        <w:tc>
          <w:tcPr>
            <w:tcW w:type="dxa" w:w="2161"/>
          </w:tcPr>
          <w:p>
            <w:r>
              <w:rPr>
                <w:rFonts w:ascii="宋体" w:hAnsi="宋体" w:eastAsia="宋体"/>
                <w:b w:val="0"/>
                <w:sz w:val="20"/>
              </w:rPr>
              <w:t>《规定》第1、10、11条；九民纪要第128条</w:t>
            </w:r>
          </w:p>
        </w:tc>
      </w:tr>
      <w:tr>
        <w:tc>
          <w:tcPr>
            <w:tcW w:type="dxa" w:w="2161"/>
          </w:tcPr>
          <w:p>
            <w:r>
              <w:rPr>
                <w:rFonts w:ascii="宋体" w:hAnsi="宋体" w:eastAsia="宋体"/>
                <w:b w:val="0"/>
                <w:sz w:val="20"/>
              </w:rPr>
              <w:t>⑤</w:t>
            </w:r>
          </w:p>
        </w:tc>
        <w:tc>
          <w:tcPr>
            <w:tcW w:type="dxa" w:w="2161"/>
          </w:tcPr>
          <w:p>
            <w:r>
              <w:rPr>
                <w:rFonts w:ascii="宋体" w:hAnsi="宋体" w:eastAsia="宋体"/>
                <w:b w:val="0"/>
                <w:sz w:val="20"/>
              </w:rPr>
              <w:t>马婵娟涉嫌犯罪案件与本案是否构成"同一法律事实"或"同一法律关系"</w:t>
            </w:r>
          </w:p>
        </w:tc>
        <w:tc>
          <w:tcPr>
            <w:tcW w:type="dxa" w:w="2161"/>
          </w:tcPr>
          <w:p>
            <w:r>
              <w:rPr>
                <w:rFonts w:ascii="宋体" w:hAnsi="宋体" w:eastAsia="宋体"/>
                <w:b w:val="0"/>
                <w:sz w:val="20"/>
              </w:rPr>
              <w:t>法律争议</w:t>
            </w:r>
          </w:p>
        </w:tc>
        <w:tc>
          <w:tcPr>
            <w:tcW w:type="dxa" w:w="2161"/>
          </w:tcPr>
          <w:p>
            <w:r>
              <w:rPr>
                <w:rFonts w:ascii="宋体" w:hAnsi="宋体" w:eastAsia="宋体"/>
                <w:b w:val="0"/>
                <w:sz w:val="20"/>
              </w:rPr>
              <w:t>上诉状第3页法律分析</w:t>
            </w:r>
          </w:p>
        </w:tc>
      </w:tr>
      <w:tr>
        <w:tc>
          <w:tcPr>
            <w:tcW w:type="dxa" w:w="2161"/>
          </w:tcPr>
          <w:p>
            <w:r>
              <w:rPr>
                <w:rFonts w:ascii="宋体" w:hAnsi="宋体" w:eastAsia="宋体"/>
                <w:b w:val="0"/>
                <w:sz w:val="20"/>
              </w:rPr>
              <w:t>⑥</w:t>
            </w:r>
          </w:p>
        </w:tc>
        <w:tc>
          <w:tcPr>
            <w:tcW w:type="dxa" w:w="2161"/>
          </w:tcPr>
          <w:p>
            <w:r>
              <w:rPr>
                <w:rFonts w:ascii="宋体" w:hAnsi="宋体" w:eastAsia="宋体"/>
                <w:b w:val="0"/>
                <w:sz w:val="20"/>
              </w:rPr>
              <w:t>即便马婵娟涉嫌犯罪，根据九民纪要第128条第(2)项，本案是否仍应分别审理</w:t>
            </w:r>
          </w:p>
        </w:tc>
        <w:tc>
          <w:tcPr>
            <w:tcW w:type="dxa" w:w="2161"/>
          </w:tcPr>
          <w:p>
            <w:r>
              <w:rPr>
                <w:rFonts w:ascii="宋体" w:hAnsi="宋体" w:eastAsia="宋体"/>
                <w:b w:val="0"/>
                <w:sz w:val="20"/>
              </w:rPr>
              <w:t>法律争议</w:t>
            </w:r>
          </w:p>
        </w:tc>
        <w:tc>
          <w:tcPr>
            <w:tcW w:type="dxa" w:w="2161"/>
          </w:tcPr>
          <w:p>
            <w:r>
              <w:rPr>
                <w:rFonts w:ascii="宋体" w:hAnsi="宋体" w:eastAsia="宋体"/>
                <w:b w:val="0"/>
                <w:sz w:val="20"/>
              </w:rPr>
              <w:t>九民纪要第128条</w:t>
            </w:r>
          </w:p>
        </w:tc>
      </w:tr>
    </w:tbl>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黑体" w:hAnsi="黑体" w:eastAsia="黑体"/>
                <w:b/>
                <w:sz w:val="20"/>
              </w:rPr>
              <w:t>序号</w:t>
            </w:r>
          </w:p>
        </w:tc>
        <w:tc>
          <w:tcPr>
            <w:tcW w:type="dxa" w:w="1729"/>
          </w:tcPr>
          <w:p>
            <w:pPr>
              <w:jc w:val="center"/>
            </w:pPr>
            <w:r>
              <w:rPr>
                <w:rFonts w:ascii="黑体" w:hAnsi="黑体" w:eastAsia="黑体"/>
                <w:b/>
                <w:sz w:val="20"/>
              </w:rPr>
              <w:t>证据名称</w:t>
            </w:r>
          </w:p>
        </w:tc>
        <w:tc>
          <w:tcPr>
            <w:tcW w:type="dxa" w:w="1729"/>
          </w:tcPr>
          <w:p>
            <w:pPr>
              <w:jc w:val="center"/>
            </w:pPr>
            <w:r>
              <w:rPr>
                <w:rFonts w:ascii="黑体" w:hAnsi="黑体" w:eastAsia="黑体"/>
                <w:b/>
                <w:sz w:val="20"/>
              </w:rPr>
              <w:t>来源/页码</w:t>
            </w:r>
          </w:p>
        </w:tc>
        <w:tc>
          <w:tcPr>
            <w:tcW w:type="dxa" w:w="1729"/>
          </w:tcPr>
          <w:p>
            <w:pPr>
              <w:jc w:val="center"/>
            </w:pPr>
            <w:r>
              <w:rPr>
                <w:rFonts w:ascii="黑体" w:hAnsi="黑体" w:eastAsia="黑体"/>
                <w:b/>
                <w:sz w:val="20"/>
              </w:rPr>
              <w:t>证明对象</w:t>
            </w:r>
          </w:p>
        </w:tc>
        <w:tc>
          <w:tcPr>
            <w:tcW w:type="dxa" w:w="1729"/>
          </w:tcPr>
          <w:p>
            <w:pPr>
              <w:jc w:val="center"/>
            </w:pPr>
            <w:r>
              <w:rPr>
                <w:rFonts w:ascii="黑体" w:hAnsi="黑体" w:eastAsia="黑体"/>
                <w:b/>
                <w:sz w:val="20"/>
              </w:rPr>
              <w:t>备注</w:t>
            </w:r>
          </w:p>
        </w:tc>
      </w:tr>
      <w:tr>
        <w:tc>
          <w:tcPr>
            <w:tcW w:type="dxa" w:w="1729"/>
          </w:tcPr>
          <w:p>
            <w:r>
              <w:rPr>
                <w:rFonts w:ascii="宋体" w:hAnsi="宋体" w:eastAsia="宋体"/>
                <w:b/>
                <w:sz w:val="20"/>
              </w:rPr>
              <w:t>第一组：合同关系证据</w:t>
            </w:r>
          </w:p>
        </w:tc>
        <w:tc>
          <w:tcPr>
            <w:tcW w:type="dxa" w:w="1729"/>
          </w:tcPr>
          <w:p/>
        </w:tc>
        <w:tc>
          <w:tcPr>
            <w:tcW w:type="dxa" w:w="1729"/>
          </w:tcPr>
          <w:p/>
        </w:tc>
        <w:tc>
          <w:tcPr>
            <w:tcW w:type="dxa" w:w="1729"/>
          </w:tcPr>
          <w:p/>
        </w:tc>
        <w:tc>
          <w:tcPr>
            <w:tcW w:type="dxa" w:w="1729"/>
          </w:tcPr>
          <w:p/>
        </w:tc>
      </w:tr>
      <w:tr>
        <w:tc>
          <w:tcPr>
            <w:tcW w:type="dxa" w:w="1729"/>
          </w:tcPr>
          <w:p>
            <w:r>
              <w:rPr>
                <w:rFonts w:ascii="宋体" w:hAnsi="宋体" w:eastAsia="宋体"/>
                <w:b w:val="0"/>
                <w:sz w:val="20"/>
              </w:rPr>
              <w:t>1-1</w:t>
            </w:r>
          </w:p>
        </w:tc>
        <w:tc>
          <w:tcPr>
            <w:tcW w:type="dxa" w:w="1729"/>
          </w:tcPr>
          <w:p>
            <w:r>
              <w:rPr>
                <w:rFonts w:ascii="宋体" w:hAnsi="宋体" w:eastAsia="宋体"/>
                <w:b w:val="0"/>
                <w:sz w:val="20"/>
              </w:rPr>
              <w:t>《社工黔行·爱助益餐项目合作协议书》</w:t>
            </w:r>
          </w:p>
        </w:tc>
        <w:tc>
          <w:tcPr>
            <w:tcW w:type="dxa" w:w="1729"/>
          </w:tcPr>
          <w:p>
            <w:r>
              <w:rPr>
                <w:rFonts w:ascii="宋体" w:hAnsi="宋体" w:eastAsia="宋体"/>
                <w:b w:val="0"/>
                <w:sz w:val="20"/>
              </w:rPr>
              <w:t>一审原告证据册</w:t>
            </w:r>
          </w:p>
        </w:tc>
        <w:tc>
          <w:tcPr>
            <w:tcW w:type="dxa" w:w="1729"/>
          </w:tcPr>
          <w:p>
            <w:r>
              <w:rPr>
                <w:rFonts w:ascii="宋体" w:hAnsi="宋体" w:eastAsia="宋体"/>
                <w:b w:val="0"/>
                <w:sz w:val="20"/>
              </w:rPr>
              <w:t>上诉人与百益服务中心之间存在合法有效的项目合作协议关系</w:t>
            </w:r>
          </w:p>
        </w:tc>
        <w:tc>
          <w:tcPr>
            <w:tcW w:type="dxa" w:w="1729"/>
          </w:tcPr>
          <w:p>
            <w:r>
              <w:rPr>
                <w:rFonts w:ascii="宋体" w:hAnsi="宋体" w:eastAsia="宋体"/>
                <w:b w:val="0"/>
                <w:sz w:val="20"/>
              </w:rPr>
              <w:t>原件待核</w:t>
            </w:r>
          </w:p>
        </w:tc>
      </w:tr>
      <w:tr>
        <w:tc>
          <w:tcPr>
            <w:tcW w:type="dxa" w:w="1729"/>
          </w:tcPr>
          <w:p>
            <w:r>
              <w:rPr>
                <w:rFonts w:ascii="宋体" w:hAnsi="宋体" w:eastAsia="宋体"/>
                <w:b w:val="0"/>
                <w:sz w:val="20"/>
              </w:rPr>
              <w:t>1-2</w:t>
            </w:r>
          </w:p>
        </w:tc>
        <w:tc>
          <w:tcPr>
            <w:tcW w:type="dxa" w:w="1729"/>
          </w:tcPr>
          <w:p>
            <w:r>
              <w:rPr>
                <w:rFonts w:ascii="宋体" w:hAnsi="宋体" w:eastAsia="宋体"/>
                <w:b w:val="0"/>
                <w:sz w:val="20"/>
              </w:rPr>
              <w:t>《贵州省厚德公益基金会公益筹款项目捐赠协议书》</w:t>
            </w:r>
          </w:p>
        </w:tc>
        <w:tc>
          <w:tcPr>
            <w:tcW w:type="dxa" w:w="1729"/>
          </w:tcPr>
          <w:p>
            <w:r>
              <w:rPr>
                <w:rFonts w:ascii="宋体" w:hAnsi="宋体" w:eastAsia="宋体"/>
                <w:b w:val="0"/>
                <w:sz w:val="20"/>
              </w:rPr>
              <w:t>一审原告证据册</w:t>
            </w:r>
          </w:p>
        </w:tc>
        <w:tc>
          <w:tcPr>
            <w:tcW w:type="dxa" w:w="1729"/>
          </w:tcPr>
          <w:p>
            <w:r>
              <w:rPr>
                <w:rFonts w:ascii="宋体" w:hAnsi="宋体" w:eastAsia="宋体"/>
                <w:b w:val="0"/>
                <w:sz w:val="20"/>
              </w:rPr>
              <w:t>上诉人依约支付善款的法律依据</w:t>
            </w:r>
          </w:p>
        </w:tc>
        <w:tc>
          <w:tcPr>
            <w:tcW w:type="dxa" w:w="1729"/>
          </w:tcPr>
          <w:p>
            <w:r>
              <w:rPr>
                <w:rFonts w:ascii="宋体" w:hAnsi="宋体" w:eastAsia="宋体"/>
                <w:b w:val="0"/>
                <w:sz w:val="20"/>
              </w:rPr>
              <w:t>原件待核</w:t>
            </w:r>
          </w:p>
        </w:tc>
      </w:tr>
      <w:tr>
        <w:tc>
          <w:tcPr>
            <w:tcW w:type="dxa" w:w="1729"/>
          </w:tcPr>
          <w:p>
            <w:r>
              <w:rPr>
                <w:rFonts w:ascii="宋体" w:hAnsi="宋体" w:eastAsia="宋体"/>
                <w:b/>
                <w:sz w:val="20"/>
              </w:rPr>
              <w:t>第二组：款项支付与项目履行证据</w:t>
            </w:r>
          </w:p>
        </w:tc>
        <w:tc>
          <w:tcPr>
            <w:tcW w:type="dxa" w:w="1729"/>
          </w:tcPr>
          <w:p/>
        </w:tc>
        <w:tc>
          <w:tcPr>
            <w:tcW w:type="dxa" w:w="1729"/>
          </w:tcPr>
          <w:p/>
        </w:tc>
        <w:tc>
          <w:tcPr>
            <w:tcW w:type="dxa" w:w="1729"/>
          </w:tcPr>
          <w:p/>
        </w:tc>
        <w:tc>
          <w:tcPr>
            <w:tcW w:type="dxa" w:w="1729"/>
          </w:tcPr>
          <w:p/>
        </w:tc>
      </w:tr>
      <w:tr>
        <w:tc>
          <w:tcPr>
            <w:tcW w:type="dxa" w:w="1729"/>
          </w:tcPr>
          <w:p>
            <w:r>
              <w:rPr>
                <w:rFonts w:ascii="宋体" w:hAnsi="宋体" w:eastAsia="宋体"/>
                <w:b w:val="0"/>
                <w:sz w:val="20"/>
              </w:rPr>
              <w:t>2-1</w:t>
            </w:r>
          </w:p>
        </w:tc>
        <w:tc>
          <w:tcPr>
            <w:tcW w:type="dxa" w:w="1729"/>
          </w:tcPr>
          <w:p>
            <w:r>
              <w:rPr>
                <w:rFonts w:ascii="宋体" w:hAnsi="宋体" w:eastAsia="宋体"/>
                <w:b w:val="0"/>
                <w:sz w:val="20"/>
              </w:rPr>
              <w:t>善款支付凭证（银行转账记录）</w:t>
            </w:r>
          </w:p>
        </w:tc>
        <w:tc>
          <w:tcPr>
            <w:tcW w:type="dxa" w:w="1729"/>
          </w:tcPr>
          <w:p>
            <w:r>
              <w:rPr>
                <w:rFonts w:ascii="宋体" w:hAnsi="宋体" w:eastAsia="宋体"/>
                <w:b w:val="0"/>
                <w:sz w:val="20"/>
              </w:rPr>
              <w:t>一审原告证据册</w:t>
            </w:r>
          </w:p>
        </w:tc>
        <w:tc>
          <w:tcPr>
            <w:tcW w:type="dxa" w:w="1729"/>
          </w:tcPr>
          <w:p>
            <w:r>
              <w:rPr>
                <w:rFonts w:ascii="宋体" w:hAnsi="宋体" w:eastAsia="宋体"/>
                <w:b w:val="0"/>
                <w:sz w:val="20"/>
              </w:rPr>
              <w:t>上诉人已依约将善款支付至百益服务中心，资金来源合法</w:t>
            </w:r>
          </w:p>
        </w:tc>
        <w:tc>
          <w:tcPr>
            <w:tcW w:type="dxa" w:w="1729"/>
          </w:tcPr>
          <w:p>
            <w:r>
              <w:rPr>
                <w:rFonts w:ascii="宋体" w:hAnsi="宋体" w:eastAsia="宋体"/>
                <w:b w:val="0"/>
                <w:sz w:val="20"/>
              </w:rPr>
              <w:t>原件待核</w:t>
            </w:r>
          </w:p>
        </w:tc>
      </w:tr>
      <w:tr>
        <w:tc>
          <w:tcPr>
            <w:tcW w:type="dxa" w:w="1729"/>
          </w:tcPr>
          <w:p>
            <w:r>
              <w:rPr>
                <w:rFonts w:ascii="宋体" w:hAnsi="宋体" w:eastAsia="宋体"/>
                <w:b w:val="0"/>
                <w:sz w:val="20"/>
              </w:rPr>
              <w:t>2-2</w:t>
            </w:r>
          </w:p>
        </w:tc>
        <w:tc>
          <w:tcPr>
            <w:tcW w:type="dxa" w:w="1729"/>
          </w:tcPr>
          <w:p>
            <w:r>
              <w:rPr>
                <w:rFonts w:ascii="宋体" w:hAnsi="宋体" w:eastAsia="宋体"/>
                <w:b w:val="0"/>
                <w:sz w:val="20"/>
              </w:rPr>
              <w:t>"社工黔行·爱助益餐"慈善项目开展证据</w:t>
            </w:r>
          </w:p>
        </w:tc>
        <w:tc>
          <w:tcPr>
            <w:tcW w:type="dxa" w:w="1729"/>
          </w:tcPr>
          <w:p>
            <w:r>
              <w:rPr>
                <w:rFonts w:ascii="宋体" w:hAnsi="宋体" w:eastAsia="宋体"/>
                <w:b w:val="0"/>
                <w:sz w:val="20"/>
              </w:rPr>
              <w:t>一审原告证据册</w:t>
            </w:r>
          </w:p>
        </w:tc>
        <w:tc>
          <w:tcPr>
            <w:tcW w:type="dxa" w:w="1729"/>
          </w:tcPr>
          <w:p>
            <w:r>
              <w:rPr>
                <w:rFonts w:ascii="宋体" w:hAnsi="宋体" w:eastAsia="宋体"/>
                <w:b w:val="0"/>
                <w:sz w:val="20"/>
              </w:rPr>
              <w:t>百益服务中心实际开展了慈善项目，善款未被挪用</w:t>
            </w:r>
          </w:p>
        </w:tc>
        <w:tc>
          <w:tcPr>
            <w:tcW w:type="dxa" w:w="1729"/>
          </w:tcPr>
          <w:p>
            <w:r>
              <w:rPr>
                <w:rFonts w:ascii="宋体" w:hAnsi="宋体" w:eastAsia="宋体"/>
                <w:b w:val="0"/>
                <w:sz w:val="20"/>
              </w:rPr>
              <w:t>原件待核</w:t>
            </w:r>
          </w:p>
        </w:tc>
      </w:tr>
      <w:tr>
        <w:tc>
          <w:tcPr>
            <w:tcW w:type="dxa" w:w="1729"/>
          </w:tcPr>
          <w:p>
            <w:r>
              <w:rPr>
                <w:rFonts w:ascii="宋体" w:hAnsi="宋体" w:eastAsia="宋体"/>
                <w:b/>
                <w:sz w:val="20"/>
              </w:rPr>
              <w:t>第三组：一审程序违法证据</w:t>
            </w:r>
          </w:p>
        </w:tc>
        <w:tc>
          <w:tcPr>
            <w:tcW w:type="dxa" w:w="1729"/>
          </w:tcPr>
          <w:p/>
        </w:tc>
        <w:tc>
          <w:tcPr>
            <w:tcW w:type="dxa" w:w="1729"/>
          </w:tcPr>
          <w:p/>
        </w:tc>
        <w:tc>
          <w:tcPr>
            <w:tcW w:type="dxa" w:w="1729"/>
          </w:tcPr>
          <w:p/>
        </w:tc>
        <w:tc>
          <w:tcPr>
            <w:tcW w:type="dxa" w:w="1729"/>
          </w:tcPr>
          <w:p/>
        </w:tc>
      </w:tr>
      <w:tr>
        <w:tc>
          <w:tcPr>
            <w:tcW w:type="dxa" w:w="1729"/>
          </w:tcPr>
          <w:p>
            <w:r>
              <w:rPr>
                <w:rFonts w:ascii="宋体" w:hAnsi="宋体" w:eastAsia="宋体"/>
                <w:b w:val="0"/>
                <w:sz w:val="20"/>
              </w:rPr>
              <w:t>3-1</w:t>
            </w:r>
          </w:p>
        </w:tc>
        <w:tc>
          <w:tcPr>
            <w:tcW w:type="dxa" w:w="1729"/>
          </w:tcPr>
          <w:p>
            <w:r>
              <w:rPr>
                <w:rFonts w:ascii="宋体" w:hAnsi="宋体" w:eastAsia="宋体"/>
                <w:b w:val="0"/>
                <w:sz w:val="20"/>
              </w:rPr>
              <w:t>(2025)黔0325民初230号《庭审笔录》(2025年2月25日）</w:t>
            </w:r>
          </w:p>
        </w:tc>
        <w:tc>
          <w:tcPr>
            <w:tcW w:type="dxa" w:w="1729"/>
          </w:tcPr>
          <w:p>
            <w:r>
              <w:rPr>
                <w:rFonts w:ascii="宋体" w:hAnsi="宋体" w:eastAsia="宋体"/>
                <w:b w:val="0"/>
                <w:sz w:val="20"/>
              </w:rPr>
              <w:t>一审卷宗</w:t>
            </w:r>
          </w:p>
        </w:tc>
        <w:tc>
          <w:tcPr>
            <w:tcW w:type="dxa" w:w="1729"/>
          </w:tcPr>
          <w:p>
            <w:r>
              <w:rPr>
                <w:rFonts w:ascii="宋体" w:hAnsi="宋体" w:eastAsia="宋体"/>
                <w:b w:val="0"/>
                <w:sz w:val="20"/>
              </w:rPr>
              <w:t>庭审中双方均未提交《公益理财服务协议》，法官未就该协议组织质证</w:t>
            </w:r>
          </w:p>
        </w:tc>
        <w:tc>
          <w:tcPr>
            <w:tcW w:type="dxa" w:w="1729"/>
          </w:tcPr>
          <w:p>
            <w:r>
              <w:rPr>
                <w:rFonts w:ascii="宋体" w:hAnsi="宋体" w:eastAsia="宋体"/>
                <w:b w:val="0"/>
                <w:sz w:val="20"/>
              </w:rPr>
              <w:t>需调取一审卷宗</w:t>
            </w:r>
          </w:p>
        </w:tc>
      </w:tr>
      <w:tr>
        <w:tc>
          <w:tcPr>
            <w:tcW w:type="dxa" w:w="1729"/>
          </w:tcPr>
          <w:p>
            <w:r>
              <w:rPr>
                <w:rFonts w:ascii="宋体" w:hAnsi="宋体" w:eastAsia="宋体"/>
                <w:b w:val="0"/>
                <w:sz w:val="20"/>
              </w:rPr>
              <w:t>3-2</w:t>
            </w:r>
          </w:p>
        </w:tc>
        <w:tc>
          <w:tcPr>
            <w:tcW w:type="dxa" w:w="1729"/>
          </w:tcPr>
          <w:p>
            <w:r>
              <w:rPr>
                <w:rFonts w:ascii="宋体" w:hAnsi="宋体" w:eastAsia="宋体"/>
                <w:b w:val="0"/>
                <w:sz w:val="20"/>
              </w:rPr>
              <w:t>(2025)黔0325民初230号之一《民事裁定书》</w:t>
            </w:r>
          </w:p>
        </w:tc>
        <w:tc>
          <w:tcPr>
            <w:tcW w:type="dxa" w:w="1729"/>
          </w:tcPr>
          <w:p>
            <w:r>
              <w:rPr>
                <w:rFonts w:ascii="宋体" w:hAnsi="宋体" w:eastAsia="宋体"/>
                <w:b w:val="0"/>
                <w:sz w:val="20"/>
              </w:rPr>
              <w:t>一审裁定书</w:t>
            </w:r>
          </w:p>
        </w:tc>
        <w:tc>
          <w:tcPr>
            <w:tcW w:type="dxa" w:w="1729"/>
          </w:tcPr>
          <w:p>
            <w:r>
              <w:rPr>
                <w:rFonts w:ascii="宋体" w:hAnsi="宋体" w:eastAsia="宋体"/>
                <w:b w:val="0"/>
                <w:sz w:val="20"/>
              </w:rPr>
              <w:t>裁定书第7页第6-8行记载了未经质证的事实，证明一审程序违法</w:t>
            </w:r>
          </w:p>
        </w:tc>
        <w:tc>
          <w:tcPr>
            <w:tcW w:type="dxa" w:w="1729"/>
          </w:tcPr>
          <w:p>
            <w:r>
              <w:rPr>
                <w:rFonts w:ascii="宋体" w:hAnsi="宋体" w:eastAsia="宋体"/>
                <w:b w:val="0"/>
                <w:sz w:val="20"/>
              </w:rPr>
              <w:t>已归档</w:t>
            </w:r>
          </w:p>
        </w:tc>
      </w:tr>
      <w:tr>
        <w:tc>
          <w:tcPr>
            <w:tcW w:type="dxa" w:w="1729"/>
          </w:tcPr>
          <w:p>
            <w:r>
              <w:rPr>
                <w:rFonts w:ascii="宋体" w:hAnsi="宋体" w:eastAsia="宋体"/>
                <w:b/>
                <w:sz w:val="20"/>
              </w:rPr>
              <w:t>第四组：无犯罪嫌疑证据</w:t>
            </w:r>
          </w:p>
        </w:tc>
        <w:tc>
          <w:tcPr>
            <w:tcW w:type="dxa" w:w="1729"/>
          </w:tcPr>
          <w:p/>
        </w:tc>
        <w:tc>
          <w:tcPr>
            <w:tcW w:type="dxa" w:w="1729"/>
          </w:tcPr>
          <w:p/>
        </w:tc>
        <w:tc>
          <w:tcPr>
            <w:tcW w:type="dxa" w:w="1729"/>
          </w:tcPr>
          <w:p/>
        </w:tc>
        <w:tc>
          <w:tcPr>
            <w:tcW w:type="dxa" w:w="1729"/>
          </w:tcPr>
          <w:p/>
        </w:tc>
      </w:tr>
      <w:tr>
        <w:tc>
          <w:tcPr>
            <w:tcW w:type="dxa" w:w="1729"/>
          </w:tcPr>
          <w:p>
            <w:r>
              <w:rPr>
                <w:rFonts w:ascii="宋体" w:hAnsi="宋体" w:eastAsia="宋体"/>
                <w:b w:val="0"/>
                <w:sz w:val="20"/>
              </w:rPr>
              <w:t>4-1</w:t>
            </w:r>
          </w:p>
        </w:tc>
        <w:tc>
          <w:tcPr>
            <w:tcW w:type="dxa" w:w="1729"/>
          </w:tcPr>
          <w:p>
            <w:r>
              <w:rPr>
                <w:rFonts w:ascii="宋体" w:hAnsi="宋体" w:eastAsia="宋体"/>
                <w:b w:val="0"/>
                <w:sz w:val="20"/>
              </w:rPr>
              <w:t>百益服务中心未被刑事立案的证明材料</w:t>
            </w:r>
          </w:p>
        </w:tc>
        <w:tc>
          <w:tcPr>
            <w:tcW w:type="dxa" w:w="1729"/>
          </w:tcPr>
          <w:p>
            <w:r>
              <w:rPr>
                <w:rFonts w:ascii="宋体" w:hAnsi="宋体" w:eastAsia="宋体"/>
                <w:b w:val="0"/>
                <w:sz w:val="20"/>
              </w:rPr>
              <w:t>待补充</w:t>
            </w:r>
          </w:p>
        </w:tc>
        <w:tc>
          <w:tcPr>
            <w:tcW w:type="dxa" w:w="1729"/>
          </w:tcPr>
          <w:p>
            <w:r>
              <w:rPr>
                <w:rFonts w:ascii="宋体" w:hAnsi="宋体" w:eastAsia="宋体"/>
                <w:b w:val="0"/>
                <w:sz w:val="20"/>
              </w:rPr>
              <w:t>百益服务中心未被任何公安机关刑事立案侦查</w:t>
            </w:r>
          </w:p>
        </w:tc>
        <w:tc>
          <w:tcPr>
            <w:tcW w:type="dxa" w:w="1729"/>
          </w:tcPr>
          <w:p>
            <w:r>
              <w:rPr>
                <w:rFonts w:ascii="宋体" w:hAnsi="宋体" w:eastAsia="宋体"/>
                <w:b/>
                <w:sz w:val="20"/>
              </w:rPr>
              <w:t>需补充</w:t>
            </w:r>
          </w:p>
        </w:tc>
      </w:tr>
      <w:tr>
        <w:tc>
          <w:tcPr>
            <w:tcW w:type="dxa" w:w="1729"/>
          </w:tcPr>
          <w:p>
            <w:r>
              <w:rPr>
                <w:rFonts w:ascii="宋体" w:hAnsi="宋体" w:eastAsia="宋体"/>
                <w:b w:val="0"/>
                <w:sz w:val="20"/>
              </w:rPr>
              <w:t>4-2</w:t>
            </w:r>
          </w:p>
        </w:tc>
        <w:tc>
          <w:tcPr>
            <w:tcW w:type="dxa" w:w="1729"/>
          </w:tcPr>
          <w:p>
            <w:r>
              <w:rPr>
                <w:rFonts w:ascii="宋体" w:hAnsi="宋体" w:eastAsia="宋体"/>
                <w:b w:val="0"/>
                <w:sz w:val="20"/>
              </w:rPr>
              <w:t>李丽、李佳豪未被刑事立案的证明材料</w:t>
            </w:r>
          </w:p>
        </w:tc>
        <w:tc>
          <w:tcPr>
            <w:tcW w:type="dxa" w:w="1729"/>
          </w:tcPr>
          <w:p>
            <w:r>
              <w:rPr>
                <w:rFonts w:ascii="宋体" w:hAnsi="宋体" w:eastAsia="宋体"/>
                <w:b w:val="0"/>
                <w:sz w:val="20"/>
              </w:rPr>
              <w:t>待补充</w:t>
            </w:r>
          </w:p>
        </w:tc>
        <w:tc>
          <w:tcPr>
            <w:tcW w:type="dxa" w:w="1729"/>
          </w:tcPr>
          <w:p>
            <w:r>
              <w:rPr>
                <w:rFonts w:ascii="宋体" w:hAnsi="宋体" w:eastAsia="宋体"/>
                <w:b w:val="0"/>
                <w:sz w:val="20"/>
              </w:rPr>
              <w:t>李丽、李佳豪未被任何公安机关刑事立案侦查</w:t>
            </w:r>
          </w:p>
        </w:tc>
        <w:tc>
          <w:tcPr>
            <w:tcW w:type="dxa" w:w="1729"/>
          </w:tcPr>
          <w:p>
            <w:r>
              <w:rPr>
                <w:rFonts w:ascii="宋体" w:hAnsi="宋体" w:eastAsia="宋体"/>
                <w:b/>
                <w:sz w:val="20"/>
              </w:rPr>
              <w:t>需补充</w:t>
            </w:r>
          </w:p>
        </w:tc>
      </w:tr>
      <w:tr>
        <w:tc>
          <w:tcPr>
            <w:tcW w:type="dxa" w:w="1729"/>
          </w:tcPr>
          <w:p>
            <w:r>
              <w:rPr>
                <w:rFonts w:ascii="宋体" w:hAnsi="宋体" w:eastAsia="宋体"/>
                <w:b/>
                <w:sz w:val="20"/>
              </w:rPr>
              <w:t>第五组：法律依据</w:t>
            </w:r>
          </w:p>
        </w:tc>
        <w:tc>
          <w:tcPr>
            <w:tcW w:type="dxa" w:w="1729"/>
          </w:tcPr>
          <w:p/>
        </w:tc>
        <w:tc>
          <w:tcPr>
            <w:tcW w:type="dxa" w:w="1729"/>
          </w:tcPr>
          <w:p/>
        </w:tc>
        <w:tc>
          <w:tcPr>
            <w:tcW w:type="dxa" w:w="1729"/>
          </w:tcPr>
          <w:p/>
        </w:tc>
        <w:tc>
          <w:tcPr>
            <w:tcW w:type="dxa" w:w="1729"/>
          </w:tcPr>
          <w:p/>
        </w:tc>
      </w:tr>
      <w:tr>
        <w:tc>
          <w:tcPr>
            <w:tcW w:type="dxa" w:w="1729"/>
          </w:tcPr>
          <w:p>
            <w:r>
              <w:rPr>
                <w:rFonts w:ascii="宋体" w:hAnsi="宋体" w:eastAsia="宋体"/>
                <w:b w:val="0"/>
                <w:sz w:val="20"/>
              </w:rPr>
              <w:t>5-1</w:t>
            </w:r>
          </w:p>
        </w:tc>
        <w:tc>
          <w:tcPr>
            <w:tcW w:type="dxa" w:w="1729"/>
          </w:tcPr>
          <w:p>
            <w:r>
              <w:rPr>
                <w:rFonts w:ascii="宋体" w:hAnsi="宋体" w:eastAsia="宋体"/>
                <w:b w:val="0"/>
                <w:sz w:val="20"/>
              </w:rPr>
              <w:t>《经济犯罪嫌疑规定》（2020修正）第1、10、11条</w:t>
            </w:r>
          </w:p>
        </w:tc>
        <w:tc>
          <w:tcPr>
            <w:tcW w:type="dxa" w:w="1729"/>
          </w:tcPr>
          <w:p>
            <w:r>
              <w:rPr>
                <w:rFonts w:ascii="宋体" w:hAnsi="宋体" w:eastAsia="宋体"/>
                <w:b w:val="0"/>
                <w:sz w:val="20"/>
              </w:rPr>
              <w:t>法条依据</w:t>
            </w:r>
          </w:p>
        </w:tc>
        <w:tc>
          <w:tcPr>
            <w:tcW w:type="dxa" w:w="1729"/>
          </w:tcPr>
          <w:p>
            <w:r>
              <w:rPr>
                <w:rFonts w:ascii="宋体" w:hAnsi="宋体" w:eastAsia="宋体"/>
                <w:b w:val="0"/>
                <w:sz w:val="20"/>
              </w:rPr>
              <w:t>分别审理与驳回起诉的适用依据</w:t>
            </w:r>
          </w:p>
        </w:tc>
        <w:tc>
          <w:tcPr>
            <w:tcW w:type="dxa" w:w="1729"/>
          </w:tcPr>
          <w:p>
            <w:r>
              <w:rPr>
                <w:rFonts w:ascii="宋体" w:hAnsi="宋体" w:eastAsia="宋体"/>
                <w:b w:val="0"/>
                <w:sz w:val="20"/>
              </w:rPr>
              <w:t>知识库待检索</w:t>
            </w:r>
          </w:p>
        </w:tc>
      </w:tr>
      <w:tr>
        <w:tc>
          <w:tcPr>
            <w:tcW w:type="dxa" w:w="1729"/>
          </w:tcPr>
          <w:p>
            <w:r>
              <w:rPr>
                <w:rFonts w:ascii="宋体" w:hAnsi="宋体" w:eastAsia="宋体"/>
                <w:b w:val="0"/>
                <w:sz w:val="20"/>
              </w:rPr>
              <w:t>5-2</w:t>
            </w:r>
          </w:p>
        </w:tc>
        <w:tc>
          <w:tcPr>
            <w:tcW w:type="dxa" w:w="1729"/>
          </w:tcPr>
          <w:p>
            <w:r>
              <w:rPr>
                <w:rFonts w:ascii="宋体" w:hAnsi="宋体" w:eastAsia="宋体"/>
                <w:b w:val="0"/>
                <w:sz w:val="20"/>
              </w:rPr>
              <w:t>《全国法院民商事审判工作会议纪要》（九民纪要）第128条</w:t>
            </w:r>
          </w:p>
        </w:tc>
        <w:tc>
          <w:tcPr>
            <w:tcW w:type="dxa" w:w="1729"/>
          </w:tcPr>
          <w:p>
            <w:r>
              <w:rPr>
                <w:rFonts w:ascii="宋体" w:hAnsi="宋体" w:eastAsia="宋体"/>
                <w:b w:val="0"/>
                <w:sz w:val="20"/>
              </w:rPr>
              <w:t>司法解释性文件</w:t>
            </w:r>
          </w:p>
        </w:tc>
        <w:tc>
          <w:tcPr>
            <w:tcW w:type="dxa" w:w="1729"/>
          </w:tcPr>
          <w:p>
            <w:r>
              <w:rPr>
                <w:rFonts w:ascii="宋体" w:hAnsi="宋体" w:eastAsia="宋体"/>
                <w:b w:val="0"/>
                <w:sz w:val="20"/>
              </w:rPr>
              <w:t>分别审理情形的法律依据</w:t>
            </w:r>
          </w:p>
        </w:tc>
        <w:tc>
          <w:tcPr>
            <w:tcW w:type="dxa" w:w="1729"/>
          </w:tcPr>
          <w:p>
            <w:r>
              <w:rPr>
                <w:rFonts w:ascii="宋体" w:hAnsi="宋体" w:eastAsia="宋体"/>
                <w:b w:val="0"/>
                <w:sz w:val="20"/>
              </w:rPr>
              <w:t>知识库待检索</w:t>
            </w:r>
          </w:p>
        </w:tc>
      </w:tr>
    </w:tbl>
    <w:tbl>
      <w:tblPr>
        <w:tblStyle w:val="TableGrid"/>
        <w:tblW w:type="auto" w:w="0"/>
        <w:tblLook w:firstColumn="1" w:firstRow="1" w:lastColumn="0" w:lastRow="0" w:noHBand="0" w:noVBand="1" w:val="04A0"/>
      </w:tblPr>
      <w:tblGrid>
        <w:gridCol w:w="4323"/>
        <w:gridCol w:w="4323"/>
      </w:tblGrid>
      <w:tr>
        <w:tc>
          <w:tcPr>
            <w:tcW w:type="dxa" w:w="4323"/>
          </w:tcPr>
          <w:p>
            <w:pPr>
              <w:jc w:val="center"/>
            </w:pPr>
            <w:r>
              <w:rPr>
                <w:rFonts w:ascii="黑体" w:hAnsi="黑体" w:eastAsia="黑体"/>
                <w:b/>
                <w:sz w:val="20"/>
              </w:rPr>
              <w:t>**真实性**</w:t>
            </w:r>
          </w:p>
        </w:tc>
        <w:tc>
          <w:tcPr>
            <w:tcW w:type="dxa" w:w="4323"/>
          </w:tcPr>
          <w:p>
            <w:pPr>
              <w:jc w:val="center"/>
            </w:pPr>
            <w:r>
              <w:rPr>
                <w:rFonts w:ascii="黑体" w:hAnsi="黑体" w:eastAsia="黑体"/>
                <w:b/>
                <w:sz w:val="20"/>
              </w:rPr>
              <w:t>不认可（如对方未能提供原件）；或：认可该证据形式真实性，但不认可其与本案的关联性</w:t>
            </w:r>
          </w:p>
        </w:tc>
      </w:tr>
      <w:tr>
        <w:tc>
          <w:tcPr>
            <w:tcW w:type="dxa" w:w="4323"/>
          </w:tcPr>
          <w:p>
            <w:r>
              <w:rPr>
                <w:rFonts w:ascii="宋体" w:hAnsi="宋体" w:eastAsia="宋体"/>
                <w:b/>
                <w:sz w:val="20"/>
              </w:rPr>
              <w:t>合法性</w:t>
            </w:r>
          </w:p>
        </w:tc>
        <w:tc>
          <w:tcPr>
            <w:tcW w:type="dxa" w:w="4323"/>
          </w:tcPr>
          <w:p>
            <w:r>
              <w:rPr>
                <w:rFonts w:ascii="宋体" w:hAnsi="宋体" w:eastAsia="宋体"/>
                <w:b w:val="0"/>
                <w:sz w:val="20"/>
              </w:rPr>
              <w:t>证据来源不合法（系案外人之间的协议，与本案无关）；取证程序不合法（未在法定期限内提交）</w:t>
            </w:r>
          </w:p>
        </w:tc>
      </w:tr>
      <w:tr>
        <w:tc>
          <w:tcPr>
            <w:tcW w:type="dxa" w:w="4323"/>
          </w:tcPr>
          <w:p>
            <w:r>
              <w:rPr>
                <w:rFonts w:ascii="宋体" w:hAnsi="宋体" w:eastAsia="宋体"/>
                <w:b/>
                <w:sz w:val="20"/>
              </w:rPr>
              <w:t>关联性</w:t>
            </w:r>
          </w:p>
        </w:tc>
        <w:tc>
          <w:tcPr>
            <w:tcW w:type="dxa" w:w="4323"/>
          </w:tcPr>
          <w:p>
            <w:r>
              <w:rPr>
                <w:rFonts w:ascii="宋体" w:hAnsi="宋体" w:eastAsia="宋体"/>
                <w:b w:val="0"/>
                <w:sz w:val="20"/>
              </w:rPr>
              <w:t>即便真实，该证据仅涉及案外人孙某与马婵娟之间的法律关系，与本案无关，不能证明本案涉嫌经济犯罪</w:t>
            </w:r>
          </w:p>
        </w:tc>
      </w:tr>
      <w:tr>
        <w:tc>
          <w:tcPr>
            <w:tcW w:type="dxa" w:w="4323"/>
          </w:tcPr>
          <w:p>
            <w:r>
              <w:rPr>
                <w:rFonts w:ascii="宋体" w:hAnsi="宋体" w:eastAsia="宋体"/>
                <w:b/>
                <w:sz w:val="20"/>
              </w:rPr>
              <w:t>证明目的反驳</w:t>
            </w:r>
          </w:p>
        </w:tc>
        <w:tc>
          <w:tcPr>
            <w:tcW w:type="dxa" w:w="4323"/>
          </w:tcPr>
          <w:p>
            <w:r>
              <w:rPr>
                <w:rFonts w:ascii="宋体" w:hAnsi="宋体" w:eastAsia="宋体"/>
                <w:b w:val="0"/>
                <w:sz w:val="20"/>
              </w:rPr>
              <w:t>即使《公益理财服务协议》真实存在，也仅是案外人之间的协议，不代表百益服务中心涉嫌经济犯罪</w:t>
            </w:r>
          </w:p>
        </w:tc>
      </w:tr>
      <w:tr>
        <w:tc>
          <w:tcPr>
            <w:tcW w:type="dxa" w:w="4323"/>
          </w:tcPr>
          <w:p>
            <w:r>
              <w:rPr>
                <w:rFonts w:ascii="宋体" w:hAnsi="宋体" w:eastAsia="宋体"/>
                <w:b/>
                <w:sz w:val="20"/>
              </w:rPr>
              <w:t>反制材料</w:t>
            </w:r>
          </w:p>
        </w:tc>
        <w:tc>
          <w:tcPr>
            <w:tcW w:type="dxa" w:w="4323"/>
          </w:tcPr>
          <w:p>
            <w:r>
              <w:rPr>
                <w:rFonts w:ascii="宋体" w:hAnsi="宋体" w:eastAsia="宋体"/>
                <w:b w:val="0"/>
                <w:sz w:val="20"/>
              </w:rPr>
              <w:t>我方证据1-1、1-2（项目合作协议+捐赠协议）可证明本案系独立的民事法律关系</w:t>
            </w:r>
          </w:p>
        </w:tc>
      </w:tr>
    </w:tbl>
    <w:p>
      <w:pPr>
        <w:ind w:left="567" w:firstLine="0"/>
      </w:pPr>
      <w:r>
        <w:rPr>
          <w:rFonts w:ascii="楷体" w:hAnsi="楷体" w:eastAsia="楷体"/>
          <w:b w:val="0"/>
          <w:sz w:val="22"/>
        </w:rPr>
        <w:t>"审判长，上诉人认为，被上诉人未能提供任何有效证据证明百益服务中心、李丽、李佳豪涉嫌经济犯罪。一审裁定所依据的'百益服务中心与案外人孙某签订《公益理财服务协议》涉嫌经济犯罪'的事实，未经庭审举证质证，严重违反法定程序。"</w:t>
      </w:r>
    </w:p>
    <w:p>
      <w:pPr>
        <w:pStyle w:val="Heading2"/>
        <w:jc w:val="left"/>
      </w:pPr>
      <w:r>
        <w:rPr>
          <w:rFonts w:ascii="黑体" w:hAnsi="黑体" w:eastAsia="黑体"/>
          <w:b/>
          <w:sz w:val="28"/>
        </w:rPr>
        <w:t>5. 辩论要点（法律论证骨架）</w:t>
      </w:r>
    </w:p>
    <w:p>
      <w:pPr>
        <w:pStyle w:val="Heading3"/>
        <w:jc w:val="left"/>
      </w:pPr>
      <w:r>
        <w:rPr>
          <w:rFonts w:ascii="黑体" w:hAnsi="黑体" w:eastAsia="黑体"/>
          <w:b/>
          <w:sz w:val="26"/>
        </w:rPr>
        <w:t>焦点①：一审裁定认定事实是否错误（是否存在未经举证质证的事实认定）</w:t>
      </w:r>
    </w:p>
    <w:p>
      <w:pPr>
        <w:pStyle w:val="ListBullet"/>
      </w:pPr>
      <w:r>
        <w:rPr>
          <w:rFonts w:ascii="宋体" w:hAnsi="宋体" w:eastAsia="宋体"/>
          <w:b/>
          <w:sz w:val="24"/>
        </w:rPr>
        <w:t>我方立场</w:t>
      </w:r>
      <w:r>
        <w:rPr>
          <w:rFonts w:ascii="宋体" w:hAnsi="宋体" w:eastAsia="宋体"/>
          <w:b w:val="0"/>
          <w:sz w:val="24"/>
        </w:rPr>
        <w:t>：一审裁定认定事实错误，采纳了未经举证质证的事实，严重违反法定程序</w:t>
      </w:r>
    </w:p>
    <w:p>
      <w:pPr>
        <w:pStyle w:val="ListBullet"/>
      </w:pPr>
      <w:r>
        <w:rPr>
          <w:rFonts w:ascii="宋体" w:hAnsi="宋体" w:eastAsia="宋体"/>
          <w:b/>
          <w:sz w:val="24"/>
        </w:rPr>
        <w:t>法律依据</w:t>
      </w:r>
      <w:r>
        <w:rPr>
          <w:rFonts w:ascii="宋体" w:hAnsi="宋体" w:eastAsia="宋体"/>
          <w:b w:val="0"/>
          <w:sz w:val="24"/>
        </w:rPr>
        <w:t>：《民事诉讼法》第68条；《最高人民法院关于民事诉讼证据的若干规定》第47条</w:t>
      </w:r>
    </w:p>
    <w:p>
      <w:pPr>
        <w:pStyle w:val="ListBullet"/>
      </w:pPr>
      <w:r>
        <w:rPr>
          <w:rFonts w:ascii="宋体" w:hAnsi="宋体" w:eastAsia="宋体"/>
          <w:b/>
          <w:sz w:val="24"/>
        </w:rPr>
        <w:t>事实锚点</w:t>
      </w:r>
      <w:r>
        <w:rPr>
          <w:rFonts w:ascii="宋体" w:hAnsi="宋体" w:eastAsia="宋体"/>
          <w:b w:val="0"/>
          <w:sz w:val="24"/>
        </w:rPr>
        <w:t>：上诉状第1-2页；《庭审笔录》(2025.2.25)</w:t>
      </w:r>
    </w:p>
    <w:p>
      <w:pPr>
        <w:pStyle w:val="ListBullet"/>
      </w:pPr>
      <w:r>
        <w:rPr>
          <w:rFonts w:ascii="宋体" w:hAnsi="宋体" w:eastAsia="宋体"/>
          <w:b/>
          <w:sz w:val="24"/>
        </w:rPr>
        <w:t>预判对方论点</w:t>
      </w:r>
      <w:r>
        <w:rPr>
          <w:rFonts w:ascii="宋体" w:hAnsi="宋体" w:eastAsia="宋体"/>
          <w:b w:val="0"/>
          <w:sz w:val="24"/>
        </w:rPr>
        <w:t>：对方可能主张"法官依职权查明的事实无需质证"</w:t>
      </w:r>
    </w:p>
    <w:p>
      <w:pPr>
        <w:pStyle w:val="ListBullet"/>
      </w:pPr>
      <w:r>
        <w:rPr>
          <w:rFonts w:ascii="宋体" w:hAnsi="宋体" w:eastAsia="宋体"/>
          <w:b/>
          <w:sz w:val="24"/>
        </w:rPr>
        <w:t>我方回应口径</w:t>
      </w:r>
      <w:r>
        <w:rPr>
          <w:rFonts w:ascii="宋体" w:hAnsi="宋体" w:eastAsia="宋体"/>
          <w:b w:val="0"/>
          <w:sz w:val="24"/>
        </w:rPr>
        <w:t>（庭上可直接念，约50字）：</w:t>
      </w:r>
    </w:p>
    <w:p>
      <w:pPr>
        <w:pStyle w:val="Heading3"/>
        <w:jc w:val="left"/>
      </w:pPr>
      <w:r>
        <w:rPr>
          <w:rFonts w:ascii="黑体" w:hAnsi="黑体" w:eastAsia="黑体"/>
          <w:b/>
          <w:sz w:val="26"/>
        </w:rPr>
        <w:t>焦点②：百益服务中心、李丽、李佳豪是否涉嫌经济犯罪</w:t>
      </w:r>
    </w:p>
    <w:p>
      <w:pPr>
        <w:pStyle w:val="ListBullet"/>
      </w:pPr>
      <w:r>
        <w:rPr>
          <w:rFonts w:ascii="宋体" w:hAnsi="宋体" w:eastAsia="宋体"/>
          <w:b/>
          <w:sz w:val="24"/>
        </w:rPr>
        <w:t>我方立场</w:t>
      </w:r>
      <w:r>
        <w:rPr>
          <w:rFonts w:ascii="宋体" w:hAnsi="宋体" w:eastAsia="宋体"/>
          <w:b w:val="0"/>
          <w:sz w:val="24"/>
        </w:rPr>
        <w:t>：三被上诉人均未被任何公安机关刑事立案侦查，不存在涉嫌经济犯罪的事实</w:t>
      </w:r>
    </w:p>
    <w:p>
      <w:pPr>
        <w:pStyle w:val="ListBullet"/>
      </w:pPr>
      <w:r>
        <w:rPr>
          <w:rFonts w:ascii="宋体" w:hAnsi="宋体" w:eastAsia="宋体"/>
          <w:b/>
          <w:sz w:val="24"/>
        </w:rPr>
        <w:t>法律依据</w:t>
      </w:r>
      <w:r>
        <w:rPr>
          <w:rFonts w:ascii="宋体" w:hAnsi="宋体" w:eastAsia="宋体"/>
          <w:b w:val="0"/>
          <w:sz w:val="24"/>
        </w:rPr>
        <w:t>：《公安机关办理刑事案件程序规定》关于立案标准的规定</w:t>
      </w:r>
    </w:p>
    <w:p>
      <w:pPr>
        <w:pStyle w:val="ListBullet"/>
      </w:pPr>
      <w:r>
        <w:rPr>
          <w:rFonts w:ascii="宋体" w:hAnsi="宋体" w:eastAsia="宋体"/>
          <w:b/>
          <w:sz w:val="24"/>
        </w:rPr>
        <w:t>事实锚点</w:t>
      </w:r>
      <w:r>
        <w:rPr>
          <w:rFonts w:ascii="宋体" w:hAnsi="宋体" w:eastAsia="宋体"/>
          <w:b w:val="0"/>
          <w:sz w:val="24"/>
        </w:rPr>
        <w:t>：上诉状第2页："截至目前，百益服务中心、李丽、李佳豪三被告均从未被任何公安机关刑事立案侦查"</w:t>
      </w:r>
    </w:p>
    <w:p>
      <w:pPr>
        <w:pStyle w:val="ListBullet"/>
      </w:pPr>
      <w:r>
        <w:rPr>
          <w:rFonts w:ascii="宋体" w:hAnsi="宋体" w:eastAsia="宋体"/>
          <w:b/>
          <w:sz w:val="24"/>
        </w:rPr>
        <w:t>预判对方论点</w:t>
      </w:r>
      <w:r>
        <w:rPr>
          <w:rFonts w:ascii="宋体" w:hAnsi="宋体" w:eastAsia="宋体"/>
          <w:b w:val="0"/>
          <w:sz w:val="24"/>
        </w:rPr>
        <w:t>：对方可能主张"马婵娟是百益服务中心实际控制人，马婵娟被立案侦查即代表百益服务中心涉嫌犯罪"</w:t>
      </w:r>
    </w:p>
    <w:p>
      <w:pPr>
        <w:pStyle w:val="ListBullet"/>
      </w:pPr>
      <w:r>
        <w:rPr>
          <w:rFonts w:ascii="宋体" w:hAnsi="宋体" w:eastAsia="宋体"/>
          <w:b/>
          <w:sz w:val="24"/>
        </w:rPr>
        <w:t>我方回应口径</w:t>
      </w:r>
      <w:r>
        <w:rPr>
          <w:rFonts w:ascii="宋体" w:hAnsi="宋体" w:eastAsia="宋体"/>
          <w:b w:val="0"/>
          <w:sz w:val="24"/>
        </w:rPr>
        <w:t>（约60字）：</w:t>
      </w:r>
    </w:p>
    <w:p>
      <w:pPr>
        <w:pStyle w:val="Heading3"/>
        <w:jc w:val="left"/>
      </w:pPr>
      <w:r>
        <w:rPr>
          <w:rFonts w:ascii="黑体" w:hAnsi="黑体" w:eastAsia="黑体"/>
          <w:b/>
          <w:sz w:val="26"/>
        </w:rPr>
        <w:t>焦点③：本案应适用《经济犯罪嫌疑规定》第11条，还是第1条/第10条</w:t>
      </w:r>
    </w:p>
    <w:p>
      <w:pPr>
        <w:pStyle w:val="ListBullet"/>
      </w:pPr>
      <w:r>
        <w:rPr>
          <w:rFonts w:ascii="宋体" w:hAnsi="宋体" w:eastAsia="宋体"/>
          <w:b/>
          <w:sz w:val="24"/>
        </w:rPr>
        <w:t>我方立场</w:t>
      </w:r>
      <w:r>
        <w:rPr>
          <w:rFonts w:ascii="宋体" w:hAnsi="宋体" w:eastAsia="宋体"/>
          <w:b w:val="0"/>
          <w:sz w:val="24"/>
        </w:rPr>
        <w:t>：本案应适用第1条或第10条分别审理，而非第11条驳回起诉</w:t>
      </w:r>
    </w:p>
    <w:p>
      <w:pPr>
        <w:pStyle w:val="ListBullet"/>
      </w:pPr>
      <w:r>
        <w:rPr>
          <w:rFonts w:ascii="宋体" w:hAnsi="宋体" w:eastAsia="宋体"/>
          <w:b/>
          <w:sz w:val="24"/>
        </w:rPr>
        <w:t>法律依据</w:t>
      </w:r>
      <w:r>
        <w:rPr>
          <w:rFonts w:ascii="宋体" w:hAnsi="宋体" w:eastAsia="宋体"/>
          <w:b w:val="0"/>
          <w:sz w:val="24"/>
        </w:rPr>
        <w:t>：</w:t>
      </w:r>
    </w:p>
    <w:p>
      <w:r>
        <w:rPr>
          <w:rFonts w:ascii="宋体" w:hAnsi="宋体" w:eastAsia="宋体"/>
          <w:b w:val="0"/>
          <w:sz w:val="24"/>
        </w:rPr>
        <w:t xml:space="preserve">- </w:t>
      </w:r>
      <w:r>
        <w:rPr>
          <w:rFonts w:ascii="宋体" w:hAnsi="宋体" w:eastAsia="宋体"/>
          <w:b/>
          <w:sz w:val="24"/>
        </w:rPr>
        <w:t>第10条</w:t>
      </w:r>
      <w:r>
        <w:rPr>
          <w:rFonts w:ascii="宋体" w:hAnsi="宋体" w:eastAsia="宋体"/>
          <w:b w:val="0"/>
          <w:sz w:val="24"/>
        </w:rPr>
        <w:t>：发现与本案有牵连但</w:t>
      </w:r>
      <w:r>
        <w:rPr>
          <w:rFonts w:ascii="宋体" w:hAnsi="宋体" w:eastAsia="宋体"/>
          <w:b/>
          <w:sz w:val="24"/>
        </w:rPr>
        <w:t>不是同一法律关系</w:t>
      </w:r>
      <w:r>
        <w:rPr>
          <w:rFonts w:ascii="宋体" w:hAnsi="宋体" w:eastAsia="宋体"/>
          <w:b w:val="0"/>
          <w:sz w:val="24"/>
        </w:rPr>
        <w:t>的犯罪嫌疑线索，应移送公安机关，</w:t>
      </w:r>
      <w:r>
        <w:rPr>
          <w:rFonts w:ascii="宋体" w:hAnsi="宋体" w:eastAsia="宋体"/>
          <w:b/>
          <w:sz w:val="24"/>
        </w:rPr>
        <w:t>经济纠纷案件继续审理</w:t>
      </w:r>
    </w:p>
    <w:p>
      <w:r>
        <w:rPr>
          <w:rFonts w:ascii="宋体" w:hAnsi="宋体" w:eastAsia="宋体"/>
          <w:b w:val="0"/>
          <w:sz w:val="24"/>
        </w:rPr>
        <w:t xml:space="preserve">- </w:t>
      </w:r>
      <w:r>
        <w:rPr>
          <w:rFonts w:ascii="宋体" w:hAnsi="宋体" w:eastAsia="宋体"/>
          <w:b/>
          <w:sz w:val="24"/>
        </w:rPr>
        <w:t>第11条</w:t>
      </w:r>
      <w:r>
        <w:rPr>
          <w:rFonts w:ascii="宋体" w:hAnsi="宋体" w:eastAsia="宋体"/>
          <w:b w:val="0"/>
          <w:sz w:val="24"/>
        </w:rPr>
        <w:t>（一审错误适用）：经审理认为</w:t>
      </w:r>
      <w:r>
        <w:rPr>
          <w:rFonts w:ascii="宋体" w:hAnsi="宋体" w:eastAsia="宋体"/>
          <w:b/>
          <w:sz w:val="24"/>
        </w:rPr>
        <w:t>不属经济纠纷案件而有经济犯罪嫌疑的</w:t>
      </w:r>
      <w:r>
        <w:rPr>
          <w:rFonts w:ascii="宋体" w:hAnsi="宋体" w:eastAsia="宋体"/>
          <w:b w:val="0"/>
          <w:sz w:val="24"/>
        </w:rPr>
        <w:t>，应当裁定驳回起诉</w:t>
      </w:r>
    </w:p>
    <w:p>
      <w:pPr>
        <w:pStyle w:val="ListBullet"/>
      </w:pPr>
      <w:r>
        <w:rPr>
          <w:rFonts w:ascii="宋体" w:hAnsi="宋体" w:eastAsia="宋体"/>
          <w:b/>
          <w:sz w:val="24"/>
        </w:rPr>
        <w:t>事实论证</w:t>
      </w:r>
      <w:r>
        <w:rPr>
          <w:rFonts w:ascii="宋体" w:hAnsi="宋体" w:eastAsia="宋体"/>
          <w:b w:val="0"/>
          <w:sz w:val="24"/>
        </w:rPr>
        <w:t>：</w:t>
      </w:r>
    </w:p>
    <w:p>
      <w:r>
        <w:rPr>
          <w:rFonts w:ascii="宋体" w:hAnsi="宋体" w:eastAsia="宋体"/>
          <w:b w:val="0"/>
          <w:sz w:val="24"/>
        </w:rPr>
        <w:t>1. 本案法律关系主体：厚德基金会 + 百益服务中心</w:t>
      </w:r>
    </w:p>
    <w:p>
      <w:r>
        <w:rPr>
          <w:rFonts w:ascii="宋体" w:hAnsi="宋体" w:eastAsia="宋体"/>
          <w:b w:val="0"/>
          <w:sz w:val="24"/>
        </w:rPr>
        <w:t>2. 涉嫌犯罪法律关系主体：马婵娟 + 孙某（案外人）</w:t>
      </w:r>
    </w:p>
    <w:p>
      <w:r>
        <w:rPr>
          <w:rFonts w:ascii="宋体" w:hAnsi="宋体" w:eastAsia="宋体"/>
          <w:b w:val="0"/>
          <w:sz w:val="24"/>
        </w:rPr>
        <w:t>3. 两案法律关系主体不同、客体不同，**不是同一法律关系**</w:t>
      </w:r>
    </w:p>
    <w:p>
      <w:r>
        <w:rPr>
          <w:rFonts w:ascii="宋体" w:hAnsi="宋体" w:eastAsia="宋体"/>
          <w:b w:val="0"/>
          <w:sz w:val="24"/>
        </w:rPr>
        <w:t>4. 两案法律事实不同（本案：慈善捐款使用；涉嫌犯罪案：委托理财），**不是同一法律事实**</w:t>
      </w:r>
    </w:p>
    <w:p>
      <w:pPr>
        <w:pStyle w:val="ListBullet"/>
      </w:pPr>
      <w:r>
        <w:rPr>
          <w:rFonts w:ascii="宋体" w:hAnsi="宋体" w:eastAsia="宋体"/>
          <w:b/>
          <w:sz w:val="24"/>
        </w:rPr>
        <w:t>我方回应口径</w:t>
      </w:r>
      <w:r>
        <w:rPr>
          <w:rFonts w:ascii="宋体" w:hAnsi="宋体" w:eastAsia="宋体"/>
          <w:b w:val="0"/>
          <w:sz w:val="24"/>
        </w:rPr>
        <w:t>（约80字）：</w:t>
      </w:r>
    </w:p>
    <w:p>
      <w:pPr>
        <w:ind w:left="567" w:firstLine="0"/>
      </w:pPr>
      <w:r>
        <w:rPr>
          <w:rFonts w:ascii="楷体" w:hAnsi="楷体" w:eastAsia="楷体"/>
          <w:b w:val="0"/>
          <w:sz w:val="22"/>
        </w:rPr>
        <w:t xml:space="preserve">  &gt; "审判长，本案与马婵娟涉嫌犯罪案件主体不同、法律关系不同、法律事实不同，依法应分别审理。一审错误适用第11条驳回起诉，导致上诉人合法债权无法主张，请求二审法院予以纠正。"</w:t>
      </w:r>
    </w:p>
    <w:p>
      <w:pPr>
        <w:pStyle w:val="Heading3"/>
        <w:jc w:val="left"/>
      </w:pPr>
      <w:r>
        <w:rPr>
          <w:rFonts w:ascii="黑体" w:hAnsi="黑体" w:eastAsia="黑体"/>
          <w:b/>
          <w:sz w:val="26"/>
        </w:rPr>
        <w:t>焦点④：九民纪要第128条是否适用于本案</w:t>
      </w:r>
    </w:p>
    <w:p>
      <w:pPr>
        <w:pStyle w:val="ListBullet"/>
      </w:pPr>
      <w:r>
        <w:rPr>
          <w:rFonts w:ascii="宋体" w:hAnsi="宋体" w:eastAsia="宋体"/>
          <w:b/>
          <w:sz w:val="24"/>
        </w:rPr>
        <w:t>我方立场</w:t>
      </w:r>
      <w:r>
        <w:rPr>
          <w:rFonts w:ascii="宋体" w:hAnsi="宋体" w:eastAsia="宋体"/>
          <w:b w:val="0"/>
          <w:sz w:val="24"/>
        </w:rPr>
        <w:t>：即便马婵娟以百益服务中心名义签订合同涉嫌犯罪，根据九民纪要第128条第(2)项，本案仍应分别审理</w:t>
      </w:r>
    </w:p>
    <w:p>
      <w:pPr>
        <w:pStyle w:val="ListBullet"/>
      </w:pPr>
      <w:r>
        <w:rPr>
          <w:rFonts w:ascii="宋体" w:hAnsi="宋体" w:eastAsia="宋体"/>
          <w:b/>
          <w:sz w:val="24"/>
        </w:rPr>
        <w:t>法律依据</w:t>
      </w:r>
      <w:r>
        <w:rPr>
          <w:rFonts w:ascii="宋体" w:hAnsi="宋体" w:eastAsia="宋体"/>
          <w:b w:val="0"/>
          <w:sz w:val="24"/>
        </w:rPr>
        <w:t>：《全国法院民商事审判工作会议纪要》（法〔2019〕254号）</w:t>
      </w:r>
      <w:r>
        <w:rPr>
          <w:rFonts w:ascii="宋体" w:hAnsi="宋体" w:eastAsia="宋体"/>
          <w:b/>
          <w:sz w:val="24"/>
        </w:rPr>
        <w:t>第128条第2项</w:t>
      </w:r>
      <w:r>
        <w:rPr>
          <w:rFonts w:ascii="宋体" w:hAnsi="宋体" w:eastAsia="宋体"/>
          <w:b w:val="0"/>
          <w:sz w:val="24"/>
        </w:rPr>
        <w:t>："行为人以法人、非法人组织或者他人名义订立合同的行为涉嫌刑事犯罪或者刑事裁判认定其构成犯罪，合同相对人请求该法人、非法人组织或者他人承担民事责任的"，民商事案件与刑事案件</w:t>
      </w:r>
      <w:r>
        <w:rPr>
          <w:rFonts w:ascii="宋体" w:hAnsi="宋体" w:eastAsia="宋体"/>
          <w:b/>
          <w:sz w:val="24"/>
        </w:rPr>
        <w:t>应当分别审理</w:t>
      </w:r>
    </w:p>
    <w:p>
      <w:pPr>
        <w:pStyle w:val="ListBullet"/>
      </w:pPr>
      <w:r>
        <w:rPr>
          <w:rFonts w:ascii="宋体" w:hAnsi="宋体" w:eastAsia="宋体"/>
          <w:b/>
          <w:sz w:val="24"/>
        </w:rPr>
        <w:t>事实锚点</w:t>
      </w:r>
      <w:r>
        <w:rPr>
          <w:rFonts w:ascii="宋体" w:hAnsi="宋体" w:eastAsia="宋体"/>
          <w:b w:val="0"/>
          <w:sz w:val="24"/>
        </w:rPr>
        <w:t>：上诉状第4页引用九民纪要第128条</w:t>
      </w:r>
    </w:p>
    <w:p>
      <w:pPr>
        <w:pStyle w:val="ListBullet"/>
      </w:pPr>
      <w:r>
        <w:rPr>
          <w:rFonts w:ascii="宋体" w:hAnsi="宋体" w:eastAsia="宋体"/>
          <w:b/>
          <w:sz w:val="24"/>
        </w:rPr>
        <w:t>我方回应口径</w:t>
      </w:r>
      <w:r>
        <w:rPr>
          <w:rFonts w:ascii="宋体" w:hAnsi="宋体" w:eastAsia="宋体"/>
          <w:b w:val="0"/>
          <w:sz w:val="24"/>
        </w:rPr>
        <w:t>（约60字）：</w:t>
      </w:r>
    </w:p>
    <w:p>
      <w:pPr>
        <w:pStyle w:val="Heading2"/>
        <w:jc w:val="left"/>
      </w:pPr>
      <w:r>
        <w:rPr>
          <w:rFonts w:ascii="黑体" w:hAnsi="黑体" w:eastAsia="黑体"/>
          <w:b/>
          <w:sz w:val="28"/>
        </w:rPr>
        <w:t>6. 代理词初稿</w:t>
      </w:r>
    </w:p>
    <w:p>
      <w:pPr>
        <w:pStyle w:val="Heading3"/>
        <w:jc w:val="left"/>
      </w:pPr>
      <w:r>
        <w:rPr>
          <w:rFonts w:ascii="黑体" w:hAnsi="黑体" w:eastAsia="黑体"/>
          <w:b/>
          <w:sz w:val="26"/>
        </w:rPr>
        <w:t>6.1 法庭调查阶段陈述</w:t>
      </w:r>
    </w:p>
    <w:p>
      <w:r>
        <w:rPr>
          <w:rFonts w:ascii="宋体" w:hAnsi="宋体" w:eastAsia="宋体"/>
          <w:b/>
          <w:sz w:val="24"/>
        </w:rPr>
        <w:t>审判长、审判员：</w:t>
      </w:r>
    </w:p>
    <w:p>
      <w:r>
        <w:rPr>
          <w:rFonts w:ascii="宋体" w:hAnsi="宋体" w:eastAsia="宋体"/>
          <w:b w:val="0"/>
          <w:sz w:val="24"/>
        </w:rPr>
        <w:t>上诉人贵州省厚德公益基金会因与被上诉人道真仡佬族苗族自治县百益社会工作服务中心、李丽、李佳豪合同纠纷一案，不服道真县人民法院(2025)黔0325民初230号之一民事裁定，现依法提起上诉。</w:t>
      </w:r>
    </w:p>
    <w:p>
      <w:r>
        <w:rPr>
          <w:rFonts w:ascii="宋体" w:hAnsi="宋体" w:eastAsia="宋体"/>
          <w:b/>
          <w:sz w:val="24"/>
        </w:rPr>
        <w:t>主要上诉理由如下：</w:t>
      </w:r>
    </w:p>
    <w:p>
      <w:r>
        <w:rPr>
          <w:rFonts w:ascii="宋体" w:hAnsi="宋体" w:eastAsia="宋体"/>
          <w:b/>
          <w:sz w:val="24"/>
        </w:rPr>
        <w:t>第一，一审裁定认定事实存在重大错误。</w:t>
      </w:r>
    </w:p>
    <w:p>
      <w:r>
        <w:rPr>
          <w:rFonts w:ascii="宋体" w:hAnsi="宋体" w:eastAsia="宋体"/>
          <w:b w:val="0"/>
          <w:sz w:val="24"/>
        </w:rPr>
        <w:t>一审裁定第7页第6-8行认定："百益服务中心与案外人孙某签订的《公益理财服务协议》，孙某因该协议涉嫌经济犯罪，公安机关已介入调查"。但该事实的认定，既没有证据能够证实，也未经庭审质证程序。</w:t>
      </w:r>
    </w:p>
    <w:p>
      <w:r>
        <w:rPr>
          <w:rFonts w:ascii="宋体" w:hAnsi="宋体" w:eastAsia="宋体"/>
          <w:b w:val="0"/>
          <w:sz w:val="24"/>
        </w:rPr>
        <w:t>根据2025年2月25日的《庭审笔录》，庭审过程中三被上诉人和上诉人均未向法庭提交《公益理财服务协议》。庭审调查中，法官也未以任何方式向上诉人出示该份协议，未就"涉嫌经济犯罪"问题组织双方质证。该事实突然出现在一审裁定书中，成为驳回起诉的依据，严重违反《民事诉讼法》第68条关于证据必须经质证才能作为裁判依据的规定。</w:t>
      </w:r>
    </w:p>
    <w:p>
      <w:r>
        <w:rPr>
          <w:rFonts w:ascii="宋体" w:hAnsi="宋体" w:eastAsia="宋体"/>
          <w:b/>
          <w:sz w:val="24"/>
        </w:rPr>
        <w:t>第二，没有证据证明百益服务中心、李丽、李佳豪涉嫌经济犯罪。</w:t>
      </w:r>
    </w:p>
    <w:p>
      <w:r>
        <w:rPr>
          <w:rFonts w:ascii="宋体" w:hAnsi="宋体" w:eastAsia="宋体"/>
          <w:b w:val="0"/>
          <w:sz w:val="24"/>
        </w:rPr>
        <w:t>从一审裁定表述可见，仅"孙某"涉嫌经济犯罪，并未提及百益服务中心涉嫌犯罪。即便马婵娟是百益服务中心的实际控制人，其个人被公安机关立案侦查，也不能直接得出百益服务中心涉嫌经济犯罪的结论。</w:t>
      </w:r>
    </w:p>
    <w:p>
      <w:r>
        <w:rPr>
          <w:rFonts w:ascii="宋体" w:hAnsi="宋体" w:eastAsia="宋体"/>
          <w:b w:val="0"/>
          <w:sz w:val="24"/>
        </w:rPr>
        <w:t>事实上，截至目前，百益服务中心、李丽、李佳豪均从未被任何公安机关刑事立案侦查，也未受到查封、冻结等任何刑事措施。</w:t>
      </w:r>
    </w:p>
    <w:p>
      <w:r>
        <w:rPr>
          <w:rFonts w:ascii="宋体" w:hAnsi="宋体" w:eastAsia="宋体"/>
          <w:b/>
          <w:sz w:val="24"/>
        </w:rPr>
        <w:t>第三，一审裁定适用法律错误，应适用分别审理规定，而非驳回起诉。</w:t>
      </w:r>
    </w:p>
    <w:p>
      <w:r>
        <w:rPr>
          <w:rFonts w:ascii="宋体" w:hAnsi="宋体" w:eastAsia="宋体"/>
          <w:b w:val="0"/>
          <w:sz w:val="24"/>
        </w:rPr>
        <w:t>根据《最高人民法院关于在审理经济纠纷案件中涉及经济犯罪嫌疑若干问题的规定》（2020修正）：</w:t>
      </w:r>
    </w:p>
    <w:p>
      <w:pPr>
        <w:pStyle w:val="ListBullet"/>
      </w:pPr>
      <w:r>
        <w:rPr>
          <w:rFonts w:ascii="宋体" w:hAnsi="宋体" w:eastAsia="宋体"/>
          <w:b/>
          <w:sz w:val="24"/>
        </w:rPr>
        <w:t>第1条</w:t>
      </w:r>
      <w:r>
        <w:rPr>
          <w:rFonts w:ascii="宋体" w:hAnsi="宋体" w:eastAsia="宋体"/>
          <w:b w:val="0"/>
          <w:sz w:val="24"/>
        </w:rPr>
        <w:t>：因</w:t>
      </w:r>
      <w:r>
        <w:rPr>
          <w:rFonts w:ascii="宋体" w:hAnsi="宋体" w:eastAsia="宋体"/>
          <w:b/>
          <w:sz w:val="24"/>
        </w:rPr>
        <w:t>不同的法律事实</w:t>
      </w:r>
      <w:r>
        <w:rPr>
          <w:rFonts w:ascii="宋体" w:hAnsi="宋体" w:eastAsia="宋体"/>
          <w:b w:val="0"/>
          <w:sz w:val="24"/>
        </w:rPr>
        <w:t>，分别涉及经济纠纷和经济犯罪嫌疑的，应当</w:t>
      </w:r>
      <w:r>
        <w:rPr>
          <w:rFonts w:ascii="宋体" w:hAnsi="宋体" w:eastAsia="宋体"/>
          <w:b/>
          <w:sz w:val="24"/>
        </w:rPr>
        <w:t>分开审理</w:t>
      </w:r>
    </w:p>
    <w:p>
      <w:pPr>
        <w:pStyle w:val="ListBullet"/>
      </w:pPr>
      <w:r>
        <w:rPr>
          <w:rFonts w:ascii="宋体" w:hAnsi="宋体" w:eastAsia="宋体"/>
          <w:b/>
          <w:sz w:val="24"/>
        </w:rPr>
        <w:t>第10条</w:t>
      </w:r>
      <w:r>
        <w:rPr>
          <w:rFonts w:ascii="宋体" w:hAnsi="宋体" w:eastAsia="宋体"/>
          <w:b w:val="0"/>
          <w:sz w:val="24"/>
        </w:rPr>
        <w:t>：发现与本案有牵连但</w:t>
      </w:r>
      <w:r>
        <w:rPr>
          <w:rFonts w:ascii="宋体" w:hAnsi="宋体" w:eastAsia="宋体"/>
          <w:b/>
          <w:sz w:val="24"/>
        </w:rPr>
        <w:t>不是同一法律关系</w:t>
      </w:r>
      <w:r>
        <w:rPr>
          <w:rFonts w:ascii="宋体" w:hAnsi="宋体" w:eastAsia="宋体"/>
          <w:b w:val="0"/>
          <w:sz w:val="24"/>
        </w:rPr>
        <w:t>的犯罪线索，应移送公安机关，</w:t>
      </w:r>
      <w:r>
        <w:rPr>
          <w:rFonts w:ascii="宋体" w:hAnsi="宋体" w:eastAsia="宋体"/>
          <w:b/>
          <w:sz w:val="24"/>
        </w:rPr>
        <w:t>经济纠纷继续审理</w:t>
      </w:r>
    </w:p>
    <w:p>
      <w:pPr>
        <w:pStyle w:val="ListBullet"/>
      </w:pPr>
      <w:r>
        <w:rPr>
          <w:rFonts w:ascii="宋体" w:hAnsi="宋体" w:eastAsia="宋体"/>
          <w:b/>
          <w:sz w:val="24"/>
        </w:rPr>
        <w:t>第11条</w:t>
      </w:r>
      <w:r>
        <w:rPr>
          <w:rFonts w:ascii="宋体" w:hAnsi="宋体" w:eastAsia="宋体"/>
          <w:b w:val="0"/>
          <w:sz w:val="24"/>
        </w:rPr>
        <w:t>（一审错误适用）：经审理认为</w:t>
      </w:r>
      <w:r>
        <w:rPr>
          <w:rFonts w:ascii="宋体" w:hAnsi="宋体" w:eastAsia="宋体"/>
          <w:b/>
          <w:sz w:val="24"/>
        </w:rPr>
        <w:t>不属经济纠纷案件而有经济犯罪嫌疑的</w:t>
      </w:r>
      <w:r>
        <w:rPr>
          <w:rFonts w:ascii="宋体" w:hAnsi="宋体" w:eastAsia="宋体"/>
          <w:b w:val="0"/>
          <w:sz w:val="24"/>
        </w:rPr>
        <w:t>，裁定驳回起诉</w:t>
      </w:r>
    </w:p>
    <w:p>
      <w:r>
        <w:rPr>
          <w:rFonts w:ascii="宋体" w:hAnsi="宋体" w:eastAsia="宋体"/>
          <w:b/>
          <w:sz w:val="24"/>
        </w:rPr>
        <w:t>第四，根据九民纪要第128条，本案仍应分别审理。</w:t>
      </w:r>
    </w:p>
    <w:p>
      <w:r>
        <w:rPr>
          <w:rFonts w:ascii="宋体" w:hAnsi="宋体" w:eastAsia="宋体"/>
          <w:b w:val="0"/>
          <w:sz w:val="24"/>
        </w:rPr>
        <w:t>即便马婵娟以百益服务中心名义签订合同涉嫌犯罪，根据九民纪要第128条第2项，上诉人作为合同相对人，有权请求百益服务中心承担民事责任，法院仍应分别审理。</w:t>
      </w:r>
    </w:p>
    <w:p>
      <w:r>
        <w:rPr>
          <w:rFonts w:ascii="宋体" w:hAnsi="宋体" w:eastAsia="宋体"/>
          <w:b/>
          <w:sz w:val="24"/>
        </w:rPr>
        <w:t>综上</w:t>
      </w:r>
      <w:r>
        <w:rPr>
          <w:rFonts w:ascii="宋体" w:hAnsi="宋体" w:eastAsia="宋体"/>
          <w:b w:val="0"/>
          <w:sz w:val="24"/>
        </w:rPr>
        <w:t>，一审裁定既存在事实认定错误，也存在适用法律错误，请求二审法院查明事实，依法撤销一审裁定，指令道真县人民法院审理本案。</w:t>
      </w:r>
    </w:p>
    <w:p>
      <w:pPr>
        <w:pStyle w:val="Heading3"/>
        <w:jc w:val="left"/>
      </w:pPr>
      <w:r>
        <w:rPr>
          <w:rFonts w:ascii="黑体" w:hAnsi="黑体" w:eastAsia="黑体"/>
          <w:b/>
          <w:sz w:val="26"/>
        </w:rPr>
        <w:t>6.2 法庭辩论阶段代理意见</w:t>
      </w:r>
    </w:p>
    <w:p>
      <w:r>
        <w:rPr>
          <w:rFonts w:ascii="宋体" w:hAnsi="宋体" w:eastAsia="宋体"/>
          <w:b/>
          <w:sz w:val="24"/>
        </w:rPr>
        <w:t>审判长、审判员：</w:t>
      </w:r>
    </w:p>
    <w:p>
      <w:r>
        <w:rPr>
          <w:rFonts w:ascii="宋体" w:hAnsi="宋体" w:eastAsia="宋体"/>
          <w:b w:val="0"/>
          <w:sz w:val="24"/>
        </w:rPr>
        <w:t>针对本案核心法律问题，上诉人发表如下辩论意见：</w:t>
      </w:r>
    </w:p>
    <w:p>
      <w:r>
        <w:rPr>
          <w:rFonts w:ascii="宋体" w:hAnsi="宋体" w:eastAsia="宋体"/>
          <w:b/>
          <w:sz w:val="24"/>
        </w:rPr>
        <w:t>一、一审程序严重违法，裁定依据的事实未经质证。</w:t>
      </w:r>
    </w:p>
    <w:p>
      <w:r>
        <w:rPr>
          <w:rFonts w:ascii="宋体" w:hAnsi="宋体" w:eastAsia="宋体"/>
          <w:b w:val="0"/>
          <w:sz w:val="24"/>
        </w:rPr>
        <w:t>一审裁定采纳的"涉嫌经济犯罪"事实，未经举证质证，违反《民事诉讼法》第68条和《证据若干规定》第47条。即便法院依职权查明相关线索，如该事实对当事人权益有重大影响，仍应保障当事人的质证权利。一审裁定将该等未经质证的事实作为驳回起诉的依据，程序严重违法。</w:t>
      </w:r>
    </w:p>
    <w:p>
      <w:r>
        <w:rPr>
          <w:rFonts w:ascii="宋体" w:hAnsi="宋体" w:eastAsia="宋体"/>
          <w:b/>
          <w:sz w:val="24"/>
        </w:rPr>
        <w:t>二、本案不符合《经济犯罪嫌疑规定》第11条的适用条件。</w:t>
      </w:r>
    </w:p>
    <w:p>
      <w:r>
        <w:rPr>
          <w:rFonts w:ascii="宋体" w:hAnsi="宋体" w:eastAsia="宋体"/>
          <w:b w:val="0"/>
          <w:sz w:val="24"/>
        </w:rPr>
        <w:t>第11条的适用前提是："人民法院作为经济纠纷受理的案件，经审理认为**不属经济纠纷案件而有经济犯罪嫌疑**"。即，整个案件本质上就是刑事案件，而非经济纠纷案件。</w:t>
      </w:r>
    </w:p>
    <w:p>
      <w:r>
        <w:rPr>
          <w:rFonts w:ascii="宋体" w:hAnsi="宋体" w:eastAsia="宋体"/>
          <w:b w:val="0"/>
          <w:sz w:val="24"/>
        </w:rPr>
        <w:t>但本案的情况是：上诉人与百益服务中心之间签订的是合法有效的项目合作协议和捐赠协议，上诉人支付善款专项用于慈善项目，双方之间是典型的**民事合同关系**。即便案外人马婵娟涉嫌犯罪，也与本案属于**不同的法律事实**和**不同的法律关系**。</w:t>
      </w:r>
    </w:p>
    <w:p>
      <w:r>
        <w:rPr>
          <w:rFonts w:ascii="宋体" w:hAnsi="宋体" w:eastAsia="宋体"/>
          <w:b w:val="0"/>
          <w:sz w:val="24"/>
        </w:rPr>
        <w:t>因此，本案应适用《规定》**第1条**（不同法律事实分别审理）或**第10条**（有牵连但不同法律关系的，移送线索、继续审理），而非第11条。</w:t>
      </w:r>
    </w:p>
    <w:p>
      <w:r>
        <w:rPr>
          <w:rFonts w:ascii="宋体" w:hAnsi="宋体" w:eastAsia="宋体"/>
          <w:b/>
          <w:sz w:val="24"/>
        </w:rPr>
        <w:t>三、九民纪要第128条明确规定本案应分别审理。</w:t>
      </w:r>
    </w:p>
    <w:p>
      <w:r>
        <w:rPr>
          <w:rFonts w:ascii="宋体" w:hAnsi="宋体" w:eastAsia="宋体"/>
          <w:b w:val="0"/>
          <w:sz w:val="24"/>
        </w:rPr>
        <w:t>九民纪要是最高人民法院发布的规范性文件，对全国法院审判工作具有重要指导作用。第128条第2项明确规定：行为人以法人名义订立合同涉嫌刑事犯罪的，合同相对人请求该法人承担民事责任的，民商事案件与刑事案件**应当分别审理**。</w:t>
      </w:r>
    </w:p>
    <w:p>
      <w:r>
        <w:rPr>
          <w:rFonts w:ascii="宋体" w:hAnsi="宋体" w:eastAsia="宋体"/>
          <w:b w:val="0"/>
          <w:sz w:val="24"/>
        </w:rPr>
        <w:t>本案完全符合该情形：即便马婵娟（行为人）以百益服务中心（法人）名义签订合同涉嫌犯罪，上诉人（合同相对人）仍有权请求百益服务中心承担民事责任，法院应分别审理。</w:t>
      </w:r>
    </w:p>
    <w:p>
      <w:r>
        <w:rPr>
          <w:rFonts w:ascii="宋体" w:hAnsi="宋体" w:eastAsia="宋体"/>
          <w:b/>
          <w:sz w:val="24"/>
        </w:rPr>
        <w:t>四、"资金来源和去向不明"的认定与事实不符。</w:t>
      </w:r>
    </w:p>
    <w:p>
      <w:r>
        <w:rPr>
          <w:rFonts w:ascii="宋体" w:hAnsi="宋体" w:eastAsia="宋体"/>
          <w:b w:val="0"/>
          <w:sz w:val="24"/>
        </w:rPr>
        <w:t>一审裁定认定"本案中的资金来源和去向不明，均有涉嫌经济犯罪可能"，与事实完全不符。</w:t>
      </w:r>
    </w:p>
    <w:p>
      <w:r>
        <w:rPr>
          <w:rFonts w:ascii="宋体" w:hAnsi="宋体" w:eastAsia="宋体"/>
          <w:b w:val="0"/>
          <w:sz w:val="24"/>
        </w:rPr>
        <w:t>上诉人已向一审法院提交证据证明：案涉善款完全是上诉人根据合法有效协议，通过公开募捐获得，并专项用于"社工黔行·爱助益餐"慈善项目。百益服务中心也实际开展了该项目。</w:t>
      </w:r>
    </w:p>
    <w:p>
      <w:r>
        <w:rPr>
          <w:rFonts w:ascii="宋体" w:hAnsi="宋体" w:eastAsia="宋体"/>
          <w:b w:val="0"/>
          <w:sz w:val="24"/>
        </w:rPr>
        <w:t>资金流向清晰、合法，不存在"来源和去向不明"的情况。</w:t>
      </w:r>
    </w:p>
    <w:p>
      <w:r>
        <w:rPr>
          <w:rFonts w:ascii="宋体" w:hAnsi="宋体" w:eastAsia="宋体"/>
          <w:b/>
          <w:sz w:val="24"/>
        </w:rPr>
        <w:t>综上所述</w:t>
      </w:r>
      <w:r>
        <w:rPr>
          <w:rFonts w:ascii="宋体" w:hAnsi="宋体" w:eastAsia="宋体"/>
          <w:b w:val="0"/>
          <w:sz w:val="24"/>
        </w:rPr>
        <w:t>，一审裁定认定事实错误、适用法律错误，请求二审法院依法撤销一审裁定，指令道真县人民法院审理本案。</w:t>
      </w:r>
    </w:p>
    <w:p>
      <w:pPr>
        <w:pStyle w:val="Heading2"/>
        <w:jc w:val="left"/>
      </w:pPr>
      <w:r>
        <w:rPr>
          <w:rFonts w:ascii="黑体" w:hAnsi="黑体" w:eastAsia="黑体"/>
          <w:b/>
          <w:sz w:val="28"/>
        </w:rPr>
        <w:t>7. 法律检索情况</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检索条目</w:t>
            </w:r>
          </w:p>
        </w:tc>
        <w:tc>
          <w:tcPr>
            <w:tcW w:type="dxa" w:w="2161"/>
          </w:tcPr>
          <w:p>
            <w:pPr>
              <w:jc w:val="center"/>
            </w:pPr>
            <w:r>
              <w:rPr>
                <w:rFonts w:ascii="黑体" w:hAnsi="黑体" w:eastAsia="黑体"/>
                <w:b/>
                <w:sz w:val="20"/>
              </w:rPr>
              <w:t>结论摘要</w:t>
            </w:r>
          </w:p>
        </w:tc>
        <w:tc>
          <w:tcPr>
            <w:tcW w:type="dxa" w:w="2161"/>
          </w:tcPr>
          <w:p>
            <w:pPr>
              <w:jc w:val="center"/>
            </w:pPr>
            <w:r>
              <w:rPr>
                <w:rFonts w:ascii="黑体" w:hAnsi="黑体" w:eastAsia="黑体"/>
                <w:b/>
                <w:sz w:val="20"/>
              </w:rPr>
              <w:t>出处</w:t>
            </w:r>
          </w:p>
        </w:tc>
        <w:tc>
          <w:tcPr>
            <w:tcW w:type="dxa" w:w="2161"/>
          </w:tcPr>
          <w:p>
            <w:pPr>
              <w:jc w:val="center"/>
            </w:pPr>
            <w:r>
              <w:rPr>
                <w:rFonts w:ascii="黑体" w:hAnsi="黑体" w:eastAsia="黑体"/>
                <w:b/>
                <w:sz w:val="20"/>
              </w:rPr>
              <w:t>可靠度</w:t>
            </w:r>
          </w:p>
        </w:tc>
      </w:tr>
      <w:tr>
        <w:tc>
          <w:tcPr>
            <w:tcW w:type="dxa" w:w="2161"/>
          </w:tcPr>
          <w:p>
            <w:r>
              <w:rPr>
                <w:rFonts w:ascii="宋体" w:hAnsi="宋体" w:eastAsia="宋体"/>
                <w:b w:val="0"/>
                <w:sz w:val="20"/>
              </w:rPr>
              <w:t>《经济犯罪嫌疑规定》（2020修正）第1、10、11条</w:t>
            </w:r>
          </w:p>
        </w:tc>
        <w:tc>
          <w:tcPr>
            <w:tcW w:type="dxa" w:w="2161"/>
          </w:tcPr>
          <w:p>
            <w:r>
              <w:rPr>
                <w:rFonts w:ascii="宋体" w:hAnsi="宋体" w:eastAsia="宋体"/>
                <w:b w:val="0"/>
                <w:sz w:val="20"/>
              </w:rPr>
              <w:t>第1条：不同法律事实分别审理；第10条：牵连但不同法律关系的，移送线索、继续审理；第11条：不属经济纠纷而有犯罪嫌疑的，驳回起诉</w:t>
            </w:r>
          </w:p>
        </w:tc>
        <w:tc>
          <w:tcPr>
            <w:tcW w:type="dxa" w:w="2161"/>
          </w:tcPr>
          <w:p>
            <w:r>
              <w:rPr>
                <w:rFonts w:ascii="宋体" w:hAnsi="宋体" w:eastAsia="宋体"/>
                <w:b w:val="0"/>
                <w:sz w:val="20"/>
              </w:rPr>
              <w:t>最高人民法院官网</w:t>
            </w:r>
          </w:p>
        </w:tc>
        <w:tc>
          <w:tcPr>
            <w:tcW w:type="dxa" w:w="2161"/>
          </w:tcPr>
          <w:p>
            <w:r>
              <w:rPr>
                <w:rFonts w:ascii="宋体" w:hAnsi="宋体" w:eastAsia="宋体"/>
                <w:b w:val="0"/>
                <w:sz w:val="20"/>
              </w:rPr>
              <w:t>✅ 现行有效</w:t>
            </w:r>
          </w:p>
        </w:tc>
      </w:tr>
      <w:tr>
        <w:tc>
          <w:tcPr>
            <w:tcW w:type="dxa" w:w="2161"/>
          </w:tcPr>
          <w:p>
            <w:r>
              <w:rPr>
                <w:rFonts w:ascii="宋体" w:hAnsi="宋体" w:eastAsia="宋体"/>
                <w:b w:val="0"/>
                <w:sz w:val="20"/>
              </w:rPr>
              <w:t>《全国法院民商事审判工作会议纪要》第128条</w:t>
            </w:r>
          </w:p>
        </w:tc>
        <w:tc>
          <w:tcPr>
            <w:tcW w:type="dxa" w:w="2161"/>
          </w:tcPr>
          <w:p>
            <w:r>
              <w:rPr>
                <w:rFonts w:ascii="宋体" w:hAnsi="宋体" w:eastAsia="宋体"/>
                <w:b w:val="0"/>
                <w:sz w:val="20"/>
              </w:rPr>
              <w:t>行为人以法人名义订立合同涉嫌犯罪的，合同相对人请求法人承担民事责任的，应分别审理</w:t>
            </w:r>
          </w:p>
        </w:tc>
        <w:tc>
          <w:tcPr>
            <w:tcW w:type="dxa" w:w="2161"/>
          </w:tcPr>
          <w:p>
            <w:r>
              <w:rPr>
                <w:rFonts w:ascii="宋体" w:hAnsi="宋体" w:eastAsia="宋体"/>
                <w:b w:val="0"/>
                <w:sz w:val="20"/>
              </w:rPr>
              <w:t>法〔2019〕254号</w:t>
            </w:r>
          </w:p>
        </w:tc>
        <w:tc>
          <w:tcPr>
            <w:tcW w:type="dxa" w:w="2161"/>
          </w:tcPr>
          <w:p>
            <w:r>
              <w:rPr>
                <w:rFonts w:ascii="宋体" w:hAnsi="宋体" w:eastAsia="宋体"/>
                <w:b w:val="0"/>
                <w:sz w:val="20"/>
              </w:rPr>
              <w:t>✅ 现行有效</w:t>
            </w:r>
          </w:p>
        </w:tc>
      </w:tr>
      <w:tr>
        <w:tc>
          <w:tcPr>
            <w:tcW w:type="dxa" w:w="2161"/>
          </w:tcPr>
          <w:p>
            <w:r>
              <w:rPr>
                <w:rFonts w:ascii="宋体" w:hAnsi="宋体" w:eastAsia="宋体"/>
                <w:b w:val="0"/>
                <w:sz w:val="20"/>
              </w:rPr>
              <w:t>《民事诉讼法》第68条（证据质证程序）</w:t>
            </w:r>
          </w:p>
        </w:tc>
        <w:tc>
          <w:tcPr>
            <w:tcW w:type="dxa" w:w="2161"/>
          </w:tcPr>
          <w:p>
            <w:r>
              <w:rPr>
                <w:rFonts w:ascii="宋体" w:hAnsi="宋体" w:eastAsia="宋体"/>
                <w:b w:val="0"/>
                <w:sz w:val="20"/>
              </w:rPr>
              <w:t>证据应当在法庭上出示，并由当事人互相质证</w:t>
            </w:r>
          </w:p>
        </w:tc>
        <w:tc>
          <w:tcPr>
            <w:tcW w:type="dxa" w:w="2161"/>
          </w:tcPr>
          <w:p>
            <w:r>
              <w:rPr>
                <w:rFonts w:ascii="宋体" w:hAnsi="宋体" w:eastAsia="宋体"/>
                <w:b w:val="0"/>
                <w:sz w:val="20"/>
              </w:rPr>
              <w:t>民事诉讼法</w:t>
            </w:r>
          </w:p>
        </w:tc>
        <w:tc>
          <w:tcPr>
            <w:tcW w:type="dxa" w:w="2161"/>
          </w:tcPr>
          <w:p>
            <w:r>
              <w:rPr>
                <w:rFonts w:ascii="宋体" w:hAnsi="宋体" w:eastAsia="宋体"/>
                <w:b w:val="0"/>
                <w:sz w:val="20"/>
              </w:rPr>
              <w:t>✅ 现行有效</w:t>
            </w:r>
          </w:p>
        </w:tc>
      </w:tr>
      <w:tr>
        <w:tc>
          <w:tcPr>
            <w:tcW w:type="dxa" w:w="2161"/>
          </w:tcPr>
          <w:p>
            <w:r>
              <w:rPr>
                <w:rFonts w:ascii="宋体" w:hAnsi="宋体" w:eastAsia="宋体"/>
                <w:b w:val="0"/>
                <w:sz w:val="20"/>
              </w:rPr>
              <w:t>民刑交叉案件"分别审理"裁判规则</w:t>
            </w:r>
          </w:p>
        </w:tc>
        <w:tc>
          <w:tcPr>
            <w:tcW w:type="dxa" w:w="2161"/>
          </w:tcPr>
          <w:p>
            <w:r>
              <w:rPr>
                <w:rFonts w:ascii="宋体" w:hAnsi="宋体" w:eastAsia="宋体"/>
                <w:b w:val="0"/>
                <w:sz w:val="20"/>
              </w:rPr>
              <w:t>合同纠纷中，法定代表人个人涉嫌犯罪，不影响合同相对人向法人主张民事权利</w:t>
            </w:r>
          </w:p>
        </w:tc>
        <w:tc>
          <w:tcPr>
            <w:tcW w:type="dxa" w:w="2161"/>
          </w:tcPr>
          <w:p>
            <w:r>
              <w:rPr>
                <w:rFonts w:ascii="宋体" w:hAnsi="宋体" w:eastAsia="宋体"/>
                <w:b w:val="0"/>
                <w:sz w:val="20"/>
              </w:rPr>
              <w:t>最高人民法院判例</w:t>
            </w:r>
          </w:p>
        </w:tc>
        <w:tc>
          <w:tcPr>
            <w:tcW w:type="dxa" w:w="2161"/>
          </w:tcPr>
          <w:p>
            <w:r>
              <w:rPr>
                <w:rFonts w:ascii="宋体" w:hAnsi="宋体" w:eastAsia="宋体"/>
                <w:b w:val="0"/>
                <w:sz w:val="20"/>
              </w:rPr>
              <w:t>⚠️ 需补充检索</w:t>
            </w:r>
          </w:p>
        </w:tc>
      </w:tr>
      <w:tr>
        <w:tc>
          <w:tcPr>
            <w:tcW w:type="dxa" w:w="2161"/>
          </w:tcPr>
          <w:p>
            <w:r>
              <w:rPr>
                <w:rFonts w:ascii="宋体" w:hAnsi="宋体" w:eastAsia="宋体"/>
                <w:b w:val="0"/>
                <w:sz w:val="20"/>
              </w:rPr>
              <w:t>一审裁定驳回起诉后二审处理规则</w:t>
            </w:r>
          </w:p>
        </w:tc>
        <w:tc>
          <w:tcPr>
            <w:tcW w:type="dxa" w:w="2161"/>
          </w:tcPr>
          <w:p>
            <w:r>
              <w:rPr>
                <w:rFonts w:ascii="宋体" w:hAnsi="宋体" w:eastAsia="宋体"/>
                <w:b w:val="0"/>
                <w:sz w:val="20"/>
              </w:rPr>
              <w:t>二审认为不应驳回起诉的，应撤销原裁定，指令继续审理</w:t>
            </w:r>
          </w:p>
        </w:tc>
        <w:tc>
          <w:tcPr>
            <w:tcW w:type="dxa" w:w="2161"/>
          </w:tcPr>
          <w:p>
            <w:r>
              <w:rPr>
                <w:rFonts w:ascii="宋体" w:hAnsi="宋体" w:eastAsia="宋体"/>
                <w:b w:val="0"/>
                <w:sz w:val="20"/>
              </w:rPr>
              <w:t>民事诉讼法司法解释</w:t>
            </w:r>
          </w:p>
        </w:tc>
        <w:tc>
          <w:tcPr>
            <w:tcW w:type="dxa" w:w="2161"/>
          </w:tcPr>
          <w:p>
            <w:r>
              <w:rPr>
                <w:rFonts w:ascii="宋体" w:hAnsi="宋体" w:eastAsia="宋体"/>
                <w:b w:val="0"/>
                <w:sz w:val="20"/>
              </w:rPr>
              <w:t>✅ 现行有效</w:t>
            </w:r>
          </w:p>
        </w:tc>
      </w:tr>
    </w:tbl>
    <w:p>
      <w:pPr>
        <w:pStyle w:val="Heading2"/>
        <w:jc w:val="left"/>
      </w:pPr>
      <w:r>
        <w:rPr>
          <w:rFonts w:ascii="黑体" w:hAnsi="黑体" w:eastAsia="黑体"/>
          <w:b/>
          <w:sz w:val="28"/>
        </w:rPr>
        <w:t>8. 对方背景调查</w:t>
      </w:r>
    </w:p>
    <w:p>
      <w:pPr>
        <w:ind w:left="567" w:firstLine="0"/>
      </w:pPr>
      <w:r>
        <w:rPr>
          <w:rFonts w:ascii="楷体" w:hAnsi="楷体" w:eastAsia="楷体"/>
          <w:b w:val="0"/>
          <w:sz w:val="22"/>
        </w:rPr>
        <w:t>⚠️ **说明**：以下信息基于现有材料推断，建议通过法院卷宗进一步核实。</w:t>
      </w:r>
    </w:p>
    <w:p>
      <w:pPr>
        <w:pStyle w:val="ListBullet"/>
      </w:pPr>
      <w:r>
        <w:rPr>
          <w:rFonts w:ascii="宋体" w:hAnsi="宋体" w:eastAsia="宋体"/>
          <w:b/>
          <w:sz w:val="24"/>
        </w:rPr>
        <w:t>代理人</w:t>
      </w:r>
      <w:r>
        <w:rPr>
          <w:rFonts w:ascii="宋体" w:hAnsi="宋体" w:eastAsia="宋体"/>
          <w:b w:val="0"/>
          <w:sz w:val="24"/>
        </w:rPr>
        <w:t>：未知（一审代理人信息待查）</w:t>
      </w:r>
    </w:p>
    <w:p>
      <w:pPr>
        <w:pStyle w:val="ListBullet"/>
      </w:pPr>
      <w:r>
        <w:rPr>
          <w:rFonts w:ascii="宋体" w:hAnsi="宋体" w:eastAsia="宋体"/>
          <w:b/>
          <w:sz w:val="24"/>
        </w:rPr>
        <w:t>律所</w:t>
      </w:r>
      <w:r>
        <w:rPr>
          <w:rFonts w:ascii="宋体" w:hAnsi="宋体" w:eastAsia="宋体"/>
          <w:b w:val="0"/>
          <w:sz w:val="24"/>
        </w:rPr>
        <w:t>：未知</w:t>
      </w:r>
    </w:p>
    <w:p>
      <w:pPr>
        <w:pStyle w:val="ListBullet"/>
      </w:pPr>
      <w:r>
        <w:rPr>
          <w:rFonts w:ascii="宋体" w:hAnsi="宋体" w:eastAsia="宋体"/>
          <w:b/>
          <w:sz w:val="24"/>
        </w:rPr>
        <w:t>已知风格/偏好打法</w:t>
      </w:r>
      <w:r>
        <w:rPr>
          <w:rFonts w:ascii="宋体" w:hAnsi="宋体" w:eastAsia="宋体"/>
          <w:b w:val="0"/>
          <w:sz w:val="24"/>
        </w:rPr>
        <w:t>：</w:t>
      </w:r>
    </w:p>
    <w:p>
      <w:pPr>
        <w:pStyle w:val="ListBullet"/>
      </w:pPr>
      <w:r>
        <w:rPr>
          <w:rFonts w:ascii="宋体" w:hAnsi="宋体" w:eastAsia="宋体"/>
          <w:b/>
          <w:sz w:val="24"/>
        </w:rPr>
        <w:t>对策提示</w:t>
      </w:r>
      <w:r>
        <w:rPr>
          <w:rFonts w:ascii="宋体" w:hAnsi="宋体" w:eastAsia="宋体"/>
          <w:b w:val="0"/>
          <w:sz w:val="24"/>
        </w:rPr>
        <w:t>：</w:t>
      </w:r>
    </w:p>
    <w:p>
      <w:r>
        <w:rPr>
          <w:rFonts w:ascii="宋体" w:hAnsi="宋体" w:eastAsia="宋体"/>
          <w:b w:val="0"/>
          <w:sz w:val="24"/>
        </w:rPr>
        <w:t>1. 对方可能在一审中未能提供充分证据证明"涉嫌经济犯罪"</w:t>
      </w:r>
    </w:p>
    <w:p>
      <w:r>
        <w:rPr>
          <w:rFonts w:ascii="宋体" w:hAnsi="宋体" w:eastAsia="宋体"/>
          <w:b w:val="0"/>
          <w:sz w:val="24"/>
        </w:rPr>
        <w:t>2. 二审中对方可能补充提交《公益理财服务协议》或刑事立案通知书作为新证据</w:t>
      </w:r>
    </w:p>
    <w:p>
      <w:r>
        <w:rPr>
          <w:rFonts w:ascii="宋体" w:hAnsi="宋体" w:eastAsia="宋体"/>
          <w:b w:val="0"/>
          <w:sz w:val="24"/>
        </w:rPr>
        <w:t>3. **我方预案**：如对方二审提交新证据，立即申请质证期，重点攻击该证据与本案的关联性</w:t>
      </w:r>
    </w:p>
    <w:p>
      <w:pPr>
        <w:pStyle w:val="Heading2"/>
        <w:jc w:val="left"/>
      </w:pPr>
      <w:r>
        <w:rPr>
          <w:rFonts w:ascii="黑体" w:hAnsi="黑体" w:eastAsia="黑体"/>
          <w:b/>
          <w:sz w:val="28"/>
        </w:rPr>
        <w:t>9. 庭审注意事项（风险清单）</w:t>
      </w:r>
    </w:p>
    <w:p>
      <w:pPr>
        <w:pStyle w:val="ListBullet"/>
      </w:pPr>
      <w:r>
        <w:rPr>
          <w:rFonts w:ascii="宋体" w:hAnsi="宋体" w:eastAsia="宋体"/>
          <w:b w:val="0"/>
          <w:sz w:val="24"/>
        </w:rPr>
        <w:t xml:space="preserve">[ ] </w:t>
      </w:r>
      <w:r>
        <w:rPr>
          <w:rFonts w:ascii="宋体" w:hAnsi="宋体" w:eastAsia="宋体"/>
          <w:b/>
          <w:sz w:val="24"/>
        </w:rPr>
        <w:t>原件携带清单</w:t>
      </w:r>
      <w:r>
        <w:rPr>
          <w:rFonts w:ascii="宋体" w:hAnsi="宋体" w:eastAsia="宋体"/>
          <w:b w:val="0"/>
          <w:sz w:val="24"/>
        </w:rPr>
        <w:t>：《项目合作协议书》原件、《捐赠协议书》原件、款项支付凭证原件</w:t>
      </w:r>
    </w:p>
    <w:p>
      <w:pPr>
        <w:pStyle w:val="ListBullet"/>
      </w:pPr>
      <w:r>
        <w:rPr>
          <w:rFonts w:ascii="宋体" w:hAnsi="宋体" w:eastAsia="宋体"/>
          <w:b w:val="0"/>
          <w:sz w:val="24"/>
        </w:rPr>
        <w:t xml:space="preserve">[ ] </w:t>
      </w:r>
      <w:r>
        <w:rPr>
          <w:rFonts w:ascii="宋体" w:hAnsi="宋体" w:eastAsia="宋体"/>
          <w:b/>
          <w:sz w:val="24"/>
        </w:rPr>
        <w:t>法院卷宗调取</w:t>
      </w:r>
      <w:r>
        <w:rPr>
          <w:rFonts w:ascii="宋体" w:hAnsi="宋体" w:eastAsia="宋体"/>
          <w:b w:val="0"/>
          <w:sz w:val="24"/>
        </w:rPr>
        <w:t>：立即向遵义市中级人民法院申请调取一审全部卷宗（特别是《庭审笔录》和证据材料）</w:t>
      </w:r>
    </w:p>
    <w:p>
      <w:pPr>
        <w:pStyle w:val="ListBullet"/>
      </w:pPr>
      <w:r>
        <w:rPr>
          <w:rFonts w:ascii="宋体" w:hAnsi="宋体" w:eastAsia="宋体"/>
          <w:b w:val="0"/>
          <w:sz w:val="24"/>
        </w:rPr>
        <w:t xml:space="preserve">[ ] </w:t>
      </w:r>
      <w:r>
        <w:rPr>
          <w:rFonts w:ascii="宋体" w:hAnsi="宋体" w:eastAsia="宋体"/>
          <w:b/>
          <w:sz w:val="24"/>
        </w:rPr>
        <w:t>公安机关查询</w:t>
      </w:r>
      <w:r>
        <w:rPr>
          <w:rFonts w:ascii="宋体" w:hAnsi="宋体" w:eastAsia="宋体"/>
          <w:b w:val="0"/>
          <w:sz w:val="24"/>
        </w:rPr>
        <w:t>：申请法院向公安机关发函，查询百益服务中心、李丽、李佳豪是否被刑事立案侦查</w:t>
      </w:r>
    </w:p>
    <w:p>
      <w:pPr>
        <w:pStyle w:val="ListBullet"/>
      </w:pPr>
      <w:r>
        <w:rPr>
          <w:rFonts w:ascii="宋体" w:hAnsi="宋体" w:eastAsia="宋体"/>
          <w:b w:val="0"/>
          <w:sz w:val="24"/>
        </w:rPr>
        <w:t xml:space="preserve">[ ] </w:t>
      </w:r>
      <w:r>
        <w:rPr>
          <w:rFonts w:ascii="宋体" w:hAnsi="宋体" w:eastAsia="宋体"/>
          <w:b/>
          <w:sz w:val="24"/>
        </w:rPr>
        <w:t>法庭调查阶段——回答长度控制</w:t>
      </w:r>
      <w:r>
        <w:rPr>
          <w:rFonts w:ascii="宋体" w:hAnsi="宋体" w:eastAsia="宋体"/>
          <w:b w:val="0"/>
          <w:sz w:val="24"/>
        </w:rPr>
        <w:t>：答事实不问定性，定性问题请求法庭允许庭后书面补充意见</w:t>
      </w:r>
    </w:p>
    <w:p>
      <w:pPr>
        <w:pStyle w:val="ListBullet"/>
      </w:pPr>
      <w:r>
        <w:rPr>
          <w:rFonts w:ascii="宋体" w:hAnsi="宋体" w:eastAsia="宋体"/>
          <w:b w:val="0"/>
          <w:sz w:val="24"/>
        </w:rPr>
        <w:t xml:space="preserve">[ ] </w:t>
      </w:r>
      <w:r>
        <w:rPr>
          <w:rFonts w:ascii="宋体" w:hAnsi="宋体" w:eastAsia="宋体"/>
          <w:b/>
          <w:sz w:val="24"/>
        </w:rPr>
        <w:t>法官追问热点预判</w:t>
      </w:r>
      <w:r>
        <w:rPr>
          <w:rFonts w:ascii="宋体" w:hAnsi="宋体" w:eastAsia="宋体"/>
          <w:b w:val="0"/>
          <w:sz w:val="24"/>
        </w:rPr>
        <w:t>：</w:t>
      </w:r>
    </w:p>
    <w:p>
      <w:pPr>
        <w:pStyle w:val="ListBullet"/>
      </w:pPr>
      <w:r>
        <w:rPr>
          <w:rFonts w:ascii="宋体" w:hAnsi="宋体" w:eastAsia="宋体"/>
          <w:b w:val="0"/>
          <w:sz w:val="24"/>
        </w:rPr>
        <w:t xml:space="preserve">[ ] </w:t>
      </w:r>
      <w:r>
        <w:rPr>
          <w:rFonts w:ascii="宋体" w:hAnsi="宋体" w:eastAsia="宋体"/>
          <w:b/>
          <w:sz w:val="24"/>
        </w:rPr>
        <w:t>法律文书准备</w:t>
      </w:r>
      <w:r>
        <w:rPr>
          <w:rFonts w:ascii="宋体" w:hAnsi="宋体" w:eastAsia="宋体"/>
          <w:b w:val="0"/>
          <w:sz w:val="24"/>
        </w:rPr>
        <w:t>：上诉状副本、一审裁定书复印件、庭审准备报告、证据册复印件</w:t>
      </w:r>
    </w:p>
    <w:p>
      <w:pPr>
        <w:pStyle w:val="Heading2"/>
        <w:jc w:val="left"/>
      </w:pPr>
      <w:r>
        <w:rPr>
          <w:rFonts w:ascii="黑体" w:hAnsi="黑体" w:eastAsia="黑体"/>
          <w:b/>
          <w:sz w:val="28"/>
        </w:rPr>
        <w:t>10. 蓝队审核区</w:t>
      </w:r>
    </w:p>
    <w:p>
      <w:pPr>
        <w:pStyle w:val="Heading3"/>
        <w:jc w:val="left"/>
      </w:pPr>
      <w:r>
        <w:rPr>
          <w:rFonts w:ascii="黑体" w:hAnsi="黑体" w:eastAsia="黑体"/>
          <w:b/>
          <w:sz w:val="26"/>
        </w:rPr>
        <w:t>《庭前审核报告》</w:t>
      </w:r>
    </w:p>
    <w:p>
      <w:r>
        <w:rPr>
          <w:rFonts w:ascii="宋体" w:hAnsi="宋体" w:eastAsia="宋体"/>
          <w:b/>
          <w:sz w:val="24"/>
        </w:rPr>
        <w:t>案件</w:t>
      </w:r>
      <w:r>
        <w:rPr>
          <w:rFonts w:ascii="宋体" w:hAnsi="宋体" w:eastAsia="宋体"/>
          <w:b w:val="0"/>
          <w:sz w:val="24"/>
        </w:rPr>
        <w:t>：贵州省厚德公益基金会诉道真百益社工中心/李丽/李佳豪合同纠纷上诉案</w:t>
      </w:r>
    </w:p>
    <w:p>
      <w:r>
        <w:rPr>
          <w:rFonts w:ascii="宋体" w:hAnsi="宋体" w:eastAsia="宋体"/>
          <w:b/>
          <w:sz w:val="24"/>
        </w:rPr>
        <w:t>报告版本</w:t>
      </w:r>
      <w:r>
        <w:rPr>
          <w:rFonts w:ascii="宋体" w:hAnsi="宋体" w:eastAsia="宋体"/>
          <w:b w:val="0"/>
          <w:sz w:val="24"/>
        </w:rPr>
        <w:t xml:space="preserve">：v1.0 ｜ </w:t>
      </w:r>
      <w:r>
        <w:rPr>
          <w:rFonts w:ascii="宋体" w:hAnsi="宋体" w:eastAsia="宋体"/>
          <w:b/>
          <w:sz w:val="24"/>
        </w:rPr>
        <w:t>审核律师</w:t>
      </w:r>
      <w:r>
        <w:rPr>
          <w:rFonts w:ascii="宋体" w:hAnsi="宋体" w:eastAsia="宋体"/>
          <w:b w:val="0"/>
          <w:sz w:val="24"/>
        </w:rPr>
        <w:t xml:space="preserve">：蓝队出庭律师 ｜ </w:t>
      </w:r>
      <w:r>
        <w:rPr>
          <w:rFonts w:ascii="宋体" w:hAnsi="宋体" w:eastAsia="宋体"/>
          <w:b/>
          <w:sz w:val="24"/>
        </w:rPr>
        <w:t>日期</w:t>
      </w:r>
      <w:r>
        <w:rPr>
          <w:rFonts w:ascii="宋体" w:hAnsi="宋体" w:eastAsia="宋体"/>
          <w:b w:val="0"/>
          <w:sz w:val="24"/>
        </w:rPr>
        <w:t>：______</w:t>
      </w:r>
    </w:p>
    <w:p>
      <w:pPr>
        <w:pStyle w:val="Heading3"/>
        <w:jc w:val="left"/>
      </w:pPr>
      <w:r>
        <w:rPr>
          <w:rFonts w:ascii="黑体" w:hAnsi="黑体" w:eastAsia="黑体"/>
          <w:b/>
          <w:sz w:val="26"/>
        </w:rPr>
        <w:t>审核结论</w:t>
      </w:r>
    </w:p>
    <w:p>
      <w:pPr>
        <w:pStyle w:val="ListBullet"/>
      </w:pPr>
      <w:r>
        <w:rPr>
          <w:rFonts w:ascii="宋体" w:hAnsi="宋体" w:eastAsia="宋体"/>
          <w:b w:val="0"/>
          <w:sz w:val="24"/>
        </w:rPr>
        <w:t xml:space="preserve">[ ] </w:t>
      </w:r>
      <w:r>
        <w:rPr>
          <w:rFonts w:ascii="宋体" w:hAnsi="宋体" w:eastAsia="宋体"/>
          <w:b/>
          <w:sz w:val="24"/>
        </w:rPr>
        <w:t>可开庭</w:t>
      </w:r>
      <w:r>
        <w:rPr>
          <w:rFonts w:ascii="宋体" w:hAnsi="宋体" w:eastAsia="宋体"/>
          <w:b w:val="0"/>
          <w:sz w:val="24"/>
        </w:rPr>
        <w:t>（仅需微调）</w:t>
      </w:r>
    </w:p>
    <w:p>
      <w:pPr>
        <w:pStyle w:val="ListBullet"/>
      </w:pPr>
      <w:r>
        <w:rPr>
          <w:rFonts w:ascii="宋体" w:hAnsi="宋体" w:eastAsia="宋体"/>
          <w:b w:val="0"/>
          <w:sz w:val="24"/>
        </w:rPr>
        <w:t xml:space="preserve">[ ] </w:t>
      </w:r>
      <w:r>
        <w:rPr>
          <w:rFonts w:ascii="宋体" w:hAnsi="宋体" w:eastAsia="宋体"/>
          <w:b/>
          <w:sz w:val="24"/>
        </w:rPr>
        <w:t>有条件开庭</w:t>
      </w:r>
      <w:r>
        <w:rPr>
          <w:rFonts w:ascii="宋体" w:hAnsi="宋体" w:eastAsia="宋体"/>
          <w:b w:val="0"/>
          <w:sz w:val="24"/>
        </w:rPr>
        <w:t>（须补全以下项）</w:t>
      </w:r>
    </w:p>
    <w:p>
      <w:pPr>
        <w:pStyle w:val="ListBullet"/>
      </w:pPr>
      <w:r>
        <w:rPr>
          <w:rFonts w:ascii="宋体" w:hAnsi="宋体" w:eastAsia="宋体"/>
          <w:b w:val="0"/>
          <w:sz w:val="24"/>
        </w:rPr>
        <w:t xml:space="preserve">[ ] </w:t>
      </w:r>
      <w:r>
        <w:rPr>
          <w:rFonts w:ascii="宋体" w:hAnsi="宋体" w:eastAsia="宋体"/>
          <w:b/>
          <w:sz w:val="24"/>
        </w:rPr>
        <w:t>不建议当前版本开庭</w:t>
      </w:r>
    </w:p>
    <w:p>
      <w:pPr>
        <w:pStyle w:val="Heading3"/>
        <w:jc w:val="left"/>
      </w:pPr>
      <w:r>
        <w:rPr>
          <w:rFonts w:ascii="黑体" w:hAnsi="黑体" w:eastAsia="黑体"/>
          <w:b/>
          <w:sz w:val="26"/>
        </w:rPr>
        <w:t>逐节审核意见</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章节</w:t>
            </w:r>
          </w:p>
        </w:tc>
        <w:tc>
          <w:tcPr>
            <w:tcW w:type="dxa" w:w="2161"/>
          </w:tcPr>
          <w:p>
            <w:pPr>
              <w:jc w:val="center"/>
            </w:pPr>
            <w:r>
              <w:rPr>
                <w:rFonts w:ascii="黑体" w:hAnsi="黑体" w:eastAsia="黑体"/>
                <w:b/>
                <w:sz w:val="20"/>
              </w:rPr>
              <w:t>状态</w:t>
            </w:r>
          </w:p>
        </w:tc>
        <w:tc>
          <w:tcPr>
            <w:tcW w:type="dxa" w:w="2161"/>
          </w:tcPr>
          <w:p>
            <w:pPr>
              <w:jc w:val="center"/>
            </w:pPr>
            <w:r>
              <w:rPr>
                <w:rFonts w:ascii="黑体" w:hAnsi="黑体" w:eastAsia="黑体"/>
                <w:b/>
                <w:sz w:val="20"/>
              </w:rPr>
              <w:t>审核意见 / 须改项</w:t>
            </w:r>
          </w:p>
        </w:tc>
        <w:tc>
          <w:tcPr>
            <w:tcW w:type="dxa" w:w="2161"/>
          </w:tcPr>
          <w:p>
            <w:pPr>
              <w:jc w:val="center"/>
            </w:pPr>
            <w:r>
              <w:rPr>
                <w:rFonts w:ascii="黑体" w:hAnsi="黑体" w:eastAsia="黑体"/>
                <w:b/>
                <w:sz w:val="20"/>
              </w:rPr>
              <w:t>优先级</w:t>
            </w:r>
          </w:p>
        </w:tc>
      </w:tr>
      <w:tr>
        <w:tc>
          <w:tcPr>
            <w:tcW w:type="dxa" w:w="2161"/>
          </w:tcPr>
          <w:p>
            <w:r>
              <w:rPr>
                <w:rFonts w:ascii="宋体" w:hAnsi="宋体" w:eastAsia="宋体"/>
                <w:b w:val="0"/>
                <w:sz w:val="20"/>
              </w:rPr>
              <w:t>主体信息</w:t>
            </w:r>
          </w:p>
        </w:tc>
        <w:tc>
          <w:tcPr>
            <w:tcW w:type="dxa" w:w="2161"/>
          </w:tcPr>
          <w:p>
            <w:r>
              <w:rPr>
                <w:rFonts w:ascii="宋体" w:hAnsi="宋体" w:eastAsia="宋体"/>
                <w:b w:val="0"/>
                <w:sz w:val="20"/>
              </w:rPr>
              <w:t>⚠️待核</w:t>
            </w:r>
          </w:p>
        </w:tc>
        <w:tc>
          <w:tcPr>
            <w:tcW w:type="dxa" w:w="2161"/>
          </w:tcPr>
          <w:p>
            <w:r>
              <w:rPr>
                <w:rFonts w:ascii="宋体" w:hAnsi="宋体" w:eastAsia="宋体"/>
                <w:b w:val="0"/>
                <w:sz w:val="20"/>
              </w:rPr>
              <w:t>需核实百益服务中心法人状态是否有效</w:t>
            </w:r>
          </w:p>
        </w:tc>
        <w:tc>
          <w:tcPr>
            <w:tcW w:type="dxa" w:w="2161"/>
          </w:tcPr>
          <w:p>
            <w:r>
              <w:rPr>
                <w:rFonts w:ascii="宋体" w:hAnsi="宋体" w:eastAsia="宋体"/>
                <w:b w:val="0"/>
                <w:sz w:val="20"/>
              </w:rPr>
              <w:t>高</w:t>
            </w:r>
          </w:p>
        </w:tc>
      </w:tr>
      <w:tr>
        <w:tc>
          <w:tcPr>
            <w:tcW w:type="dxa" w:w="2161"/>
          </w:tcPr>
          <w:p>
            <w:r>
              <w:rPr>
                <w:rFonts w:ascii="宋体" w:hAnsi="宋体" w:eastAsia="宋体"/>
                <w:b w:val="0"/>
                <w:sz w:val="20"/>
              </w:rPr>
              <w:t>事实时间线</w:t>
            </w:r>
          </w:p>
        </w:tc>
        <w:tc>
          <w:tcPr>
            <w:tcW w:type="dxa" w:w="2161"/>
          </w:tcPr>
          <w:p>
            <w:r>
              <w:rPr>
                <w:rFonts w:ascii="宋体" w:hAnsi="宋体" w:eastAsia="宋体"/>
                <w:b w:val="0"/>
                <w:sz w:val="20"/>
              </w:rPr>
              <w:t>⚠️待补</w:t>
            </w:r>
          </w:p>
        </w:tc>
        <w:tc>
          <w:tcPr>
            <w:tcW w:type="dxa" w:w="2161"/>
          </w:tcPr>
          <w:p>
            <w:r>
              <w:rPr>
                <w:rFonts w:ascii="宋体" w:hAnsi="宋体" w:eastAsia="宋体"/>
                <w:b w:val="0"/>
                <w:sz w:val="20"/>
              </w:rPr>
              <w:t>缺具体签约日期、付款日期，需补充</w:t>
            </w:r>
          </w:p>
        </w:tc>
        <w:tc>
          <w:tcPr>
            <w:tcW w:type="dxa" w:w="2161"/>
          </w:tcPr>
          <w:p>
            <w:r>
              <w:rPr>
                <w:rFonts w:ascii="宋体" w:hAnsi="宋体" w:eastAsia="宋体"/>
                <w:b w:val="0"/>
                <w:sz w:val="20"/>
              </w:rPr>
              <w:t>高</w:t>
            </w:r>
          </w:p>
        </w:tc>
      </w:tr>
      <w:tr>
        <w:tc>
          <w:tcPr>
            <w:tcW w:type="dxa" w:w="2161"/>
          </w:tcPr>
          <w:p>
            <w:r>
              <w:rPr>
                <w:rFonts w:ascii="宋体" w:hAnsi="宋体" w:eastAsia="宋体"/>
                <w:b w:val="0"/>
                <w:sz w:val="20"/>
              </w:rPr>
              <w:t>证据清单</w:t>
            </w:r>
          </w:p>
        </w:tc>
        <w:tc>
          <w:tcPr>
            <w:tcW w:type="dxa" w:w="2161"/>
          </w:tcPr>
          <w:p>
            <w:r>
              <w:rPr>
                <w:rFonts w:ascii="宋体" w:hAnsi="宋体" w:eastAsia="宋体"/>
                <w:b w:val="0"/>
                <w:sz w:val="20"/>
              </w:rPr>
              <w:t>⚠️待补</w:t>
            </w:r>
          </w:p>
        </w:tc>
        <w:tc>
          <w:tcPr>
            <w:tcW w:type="dxa" w:w="2161"/>
          </w:tcPr>
          <w:p>
            <w:r>
              <w:rPr>
                <w:rFonts w:ascii="宋体" w:hAnsi="宋体" w:eastAsia="宋体"/>
                <w:b w:val="0"/>
                <w:sz w:val="20"/>
              </w:rPr>
              <w:t>第四组证据（无犯罪嫌疑证明）待补充；需调取一审卷宗</w:t>
            </w:r>
          </w:p>
        </w:tc>
        <w:tc>
          <w:tcPr>
            <w:tcW w:type="dxa" w:w="2161"/>
          </w:tcPr>
          <w:p>
            <w:r>
              <w:rPr>
                <w:rFonts w:ascii="宋体" w:hAnsi="宋体" w:eastAsia="宋体"/>
                <w:b w:val="0"/>
                <w:sz w:val="20"/>
              </w:rPr>
              <w:t>高</w:t>
            </w:r>
          </w:p>
        </w:tc>
      </w:tr>
      <w:tr>
        <w:tc>
          <w:tcPr>
            <w:tcW w:type="dxa" w:w="2161"/>
          </w:tcPr>
          <w:p>
            <w:r>
              <w:rPr>
                <w:rFonts w:ascii="宋体" w:hAnsi="宋体" w:eastAsia="宋体"/>
                <w:b w:val="0"/>
                <w:sz w:val="20"/>
              </w:rPr>
              <w:t>质证要点</w:t>
            </w:r>
          </w:p>
        </w:tc>
        <w:tc>
          <w:tcPr>
            <w:tcW w:type="dxa" w:w="2161"/>
          </w:tcPr>
          <w:p>
            <w:r>
              <w:rPr>
                <w:rFonts w:ascii="宋体" w:hAnsi="宋体" w:eastAsia="宋体"/>
                <w:b w:val="0"/>
                <w:sz w:val="20"/>
              </w:rPr>
              <w:t>✅</w:t>
            </w:r>
          </w:p>
        </w:tc>
        <w:tc>
          <w:tcPr>
            <w:tcW w:type="dxa" w:w="2161"/>
          </w:tcPr>
          <w:p>
            <w:r>
              <w:rPr>
                <w:rFonts w:ascii="宋体" w:hAnsi="宋体" w:eastAsia="宋体"/>
                <w:b w:val="0"/>
                <w:sz w:val="20"/>
              </w:rPr>
              <w:t>structure完整，待对方提交证据后针对性补充</w:t>
            </w:r>
          </w:p>
        </w:tc>
        <w:tc>
          <w:tcPr>
            <w:tcW w:type="dxa" w:w="2161"/>
          </w:tcPr>
          <w:p>
            <w:r>
              <w:rPr>
                <w:rFonts w:ascii="宋体" w:hAnsi="宋体" w:eastAsia="宋体"/>
                <w:b w:val="0"/>
                <w:sz w:val="20"/>
              </w:rPr>
              <w:t>中</w:t>
            </w:r>
          </w:p>
        </w:tc>
      </w:tr>
      <w:tr>
        <w:tc>
          <w:tcPr>
            <w:tcW w:type="dxa" w:w="2161"/>
          </w:tcPr>
          <w:p>
            <w:r>
              <w:rPr>
                <w:rFonts w:ascii="宋体" w:hAnsi="宋体" w:eastAsia="宋体"/>
                <w:b w:val="0"/>
                <w:sz w:val="20"/>
              </w:rPr>
              <w:t>辩论要点</w:t>
            </w:r>
          </w:p>
        </w:tc>
        <w:tc>
          <w:tcPr>
            <w:tcW w:type="dxa" w:w="2161"/>
          </w:tcPr>
          <w:p>
            <w:r>
              <w:rPr>
                <w:rFonts w:ascii="宋体" w:hAnsi="宋体" w:eastAsia="宋体"/>
                <w:b w:val="0"/>
                <w:sz w:val="20"/>
              </w:rPr>
              <w:t>⚠️待补</w:t>
            </w:r>
          </w:p>
        </w:tc>
        <w:tc>
          <w:tcPr>
            <w:tcW w:type="dxa" w:w="2161"/>
          </w:tcPr>
          <w:p>
            <w:r>
              <w:rPr>
                <w:rFonts w:ascii="宋体" w:hAnsi="宋体" w:eastAsia="宋体"/>
                <w:b w:val="0"/>
                <w:sz w:val="20"/>
              </w:rPr>
              <w:t>需补充《经济犯罪嫌疑规定》第11条适用的反向判例检索</w:t>
            </w:r>
          </w:p>
        </w:tc>
        <w:tc>
          <w:tcPr>
            <w:tcW w:type="dxa" w:w="2161"/>
          </w:tcPr>
          <w:p>
            <w:r>
              <w:rPr>
                <w:rFonts w:ascii="宋体" w:hAnsi="宋体" w:eastAsia="宋体"/>
                <w:b w:val="0"/>
                <w:sz w:val="20"/>
              </w:rPr>
              <w:t>高</w:t>
            </w:r>
          </w:p>
        </w:tc>
      </w:tr>
      <w:tr>
        <w:tc>
          <w:tcPr>
            <w:tcW w:type="dxa" w:w="2161"/>
          </w:tcPr>
          <w:p>
            <w:r>
              <w:rPr>
                <w:rFonts w:ascii="宋体" w:hAnsi="宋体" w:eastAsia="宋体"/>
                <w:b w:val="0"/>
                <w:sz w:val="20"/>
              </w:rPr>
              <w:t>代理词初稿</w:t>
            </w:r>
          </w:p>
        </w:tc>
        <w:tc>
          <w:tcPr>
            <w:tcW w:type="dxa" w:w="2161"/>
          </w:tcPr>
          <w:p>
            <w:r>
              <w:rPr>
                <w:rFonts w:ascii="宋体" w:hAnsi="宋体" w:eastAsia="宋体"/>
                <w:b w:val="0"/>
                <w:sz w:val="20"/>
              </w:rPr>
              <w:t>⚠️待修</w:t>
            </w:r>
          </w:p>
        </w:tc>
        <w:tc>
          <w:tcPr>
            <w:tcW w:type="dxa" w:w="2161"/>
          </w:tcPr>
          <w:p>
            <w:r>
              <w:rPr>
                <w:rFonts w:ascii="宋体" w:hAnsi="宋体" w:eastAsia="宋体"/>
                <w:b w:val="0"/>
                <w:sz w:val="20"/>
              </w:rPr>
              <w:t>"最高人民法院判例"部分标注为待检索，需补全</w:t>
            </w:r>
          </w:p>
        </w:tc>
        <w:tc>
          <w:tcPr>
            <w:tcW w:type="dxa" w:w="2161"/>
          </w:tcPr>
          <w:p>
            <w:r>
              <w:rPr>
                <w:rFonts w:ascii="宋体" w:hAnsi="宋体" w:eastAsia="宋体"/>
                <w:b w:val="0"/>
                <w:sz w:val="20"/>
              </w:rPr>
              <w:t>中</w:t>
            </w:r>
          </w:p>
        </w:tc>
      </w:tr>
      <w:tr>
        <w:tc>
          <w:tcPr>
            <w:tcW w:type="dxa" w:w="2161"/>
          </w:tcPr>
          <w:p>
            <w:r>
              <w:rPr>
                <w:rFonts w:ascii="宋体" w:hAnsi="宋体" w:eastAsia="宋体"/>
                <w:b w:val="0"/>
                <w:sz w:val="20"/>
              </w:rPr>
              <w:t>庭审注意事项</w:t>
            </w:r>
          </w:p>
        </w:tc>
        <w:tc>
          <w:tcPr>
            <w:tcW w:type="dxa" w:w="2161"/>
          </w:tcPr>
          <w:p>
            <w:r>
              <w:rPr>
                <w:rFonts w:ascii="宋体" w:hAnsi="宋体" w:eastAsia="宋体"/>
                <w:b w:val="0"/>
                <w:sz w:val="20"/>
              </w:rPr>
              <w:t>✅</w:t>
            </w:r>
          </w:p>
        </w:tc>
        <w:tc>
          <w:tcPr>
            <w:tcW w:type="dxa" w:w="2161"/>
          </w:tcPr>
          <w:p>
            <w:r>
              <w:rPr>
                <w:rFonts w:ascii="宋体" w:hAnsi="宋体" w:eastAsia="宋体"/>
                <w:b w:val="0"/>
                <w:sz w:val="20"/>
              </w:rPr>
              <w:t>风险清单较完整</w:t>
            </w:r>
          </w:p>
        </w:tc>
        <w:tc>
          <w:tcPr>
            <w:tcW w:type="dxa" w:w="2161"/>
          </w:tcPr>
          <w:p>
            <w:r>
              <w:rPr>
                <w:rFonts w:ascii="宋体" w:hAnsi="宋体" w:eastAsia="宋体"/>
                <w:b w:val="0"/>
                <w:sz w:val="20"/>
              </w:rPr>
              <w:t>低</w:t>
            </w:r>
          </w:p>
        </w:tc>
      </w:tr>
    </w:tbl>
    <w:p>
      <w:pPr>
        <w:ind w:left="567" w:firstLine="0"/>
      </w:pPr>
      <w:r>
        <w:rPr>
          <w:rFonts w:ascii="楷体" w:hAnsi="楷体" w:eastAsia="楷体"/>
          <w:b w:val="0"/>
          <w:sz w:val="22"/>
        </w:rPr>
      </w:r>
    </w:p>
    <w:p>
      <w:pPr>
        <w:ind w:left="567" w:firstLine="0"/>
      </w:pPr>
      <w:r>
        <w:rPr>
          <w:rFonts w:ascii="楷体" w:hAnsi="楷体" w:eastAsia="楷体"/>
          <w:b w:val="0"/>
          <w:sz w:val="22"/>
        </w:rPr>
        <w:t>_____________________</w:t>
      </w:r>
    </w:p>
    <w:p>
      <w:pPr>
        <w:pStyle w:val="Heading3"/>
        <w:jc w:val="left"/>
      </w:pPr>
      <w:r>
        <w:rPr>
          <w:rFonts w:ascii="黑体" w:hAnsi="黑体" w:eastAsia="黑体"/>
          <w:b/>
          <w:sz w:val="26"/>
        </w:rPr>
        <w:t>签字确认区（留白）</w:t>
      </w:r>
    </w:p>
    <w:p>
      <w:r>
        <w:rPr>
          <w:rFonts w:ascii="宋体" w:hAnsi="宋体" w:eastAsia="宋体"/>
          <w:b/>
          <w:sz w:val="24"/>
        </w:rPr>
        <w:t>蓝队律师签字</w:t>
      </w:r>
      <w:r>
        <w:rPr>
          <w:rFonts w:ascii="宋体" w:hAnsi="宋体" w:eastAsia="宋体"/>
          <w:b w:val="0"/>
          <w:sz w:val="24"/>
        </w:rPr>
        <w:t xml:space="preserve">：___________________  </w:t>
      </w:r>
      <w:r>
        <w:rPr>
          <w:rFonts w:ascii="宋体" w:hAnsi="宋体" w:eastAsia="宋体"/>
          <w:b/>
          <w:sz w:val="24"/>
        </w:rPr>
        <w:t>日期</w:t>
      </w:r>
      <w:r>
        <w:rPr>
          <w:rFonts w:ascii="宋体" w:hAnsi="宋体" w:eastAsia="宋体"/>
          <w:b w:val="0"/>
          <w:sz w:val="24"/>
        </w:rPr>
        <w:t>：______</w:t>
      </w:r>
    </w:p>
    <w:p>
      <w:pPr>
        <w:pStyle w:val="Heading2"/>
        <w:jc w:val="left"/>
      </w:pPr>
      <w:r>
        <w:rPr>
          <w:rFonts w:ascii="黑体" w:hAnsi="黑体" w:eastAsia="黑体"/>
          <w:b/>
          <w:sz w:val="28"/>
        </w:rPr>
        <w:t>【自检确认声明】</w:t>
      </w:r>
    </w:p>
    <w:p>
      <w:r>
        <w:rPr>
          <w:rFonts w:ascii="宋体" w:hAnsi="宋体" w:eastAsia="宋体"/>
          <w:b w:val="0"/>
          <w:sz w:val="24"/>
        </w:rPr>
        <w:t>✓ **数据安全**：当事人信息和案件材料仅用于当前庭审准备，符合WorkBuddy「数据不上云/本地合规」要求</w:t>
      </w:r>
    </w:p>
    <w:p>
      <w:r>
        <w:rPr>
          <w:rFonts w:ascii="宋体" w:hAnsi="宋体" w:eastAsia="宋体"/>
          <w:b w:val="0"/>
          <w:sz w:val="24"/>
        </w:rPr>
        <w:t>✓ **智能审核义务**：本报告为AI生成参考，请依据官方数据库（北大法宝、Alpha数据库等）进行二次核对</w:t>
      </w:r>
    </w:p>
    <w:p>
      <w:r>
        <w:rPr>
          <w:rFonts w:ascii="宋体" w:hAnsi="宋体" w:eastAsia="宋体"/>
          <w:b w:val="0"/>
          <w:sz w:val="24"/>
        </w:rPr>
        <w:t>✓ **AI幻觉防范**：未编造事实、虚构法条或案例；标注「待检索」「待补充」之处请务必手动核实</w:t>
      </w:r>
    </w:p>
    <w:p>
      <w:r>
        <w:rPr>
          <w:rFonts w:ascii="宋体" w:hAnsi="宋体" w:eastAsia="宋体"/>
          <w:b w:val="0"/>
          <w:sz w:val="24"/>
        </w:rPr>
        <w:t>✓ **效率承诺**：严格落实庭审准备流程，本报告生成后请蓝队律师在24小时内完成审核</w:t>
      </w:r>
    </w:p>
    <w:p>
      <w:r>
        <w:rPr>
          <w:rFonts w:ascii="宋体" w:hAnsi="宋体" w:eastAsia="宋体"/>
          <w:b w:val="0"/>
          <w:sz w:val="24"/>
        </w:rPr>
        <w:t>⚠️ **重要提示**：本报告为AI生成参考，所有法条请依据官方数据库（北大法宝、Alpha数据库等）进行二次核对；如标注「待检索」「待补充」，请务必手动核实。</w:t>
      </w:r>
    </w:p>
    <w:p>
      <w:r>
        <w:rPr>
          <w:rFonts w:ascii="宋体" w:hAnsi="宋体" w:eastAsia="宋体"/>
          <w:b/>
          <w:sz w:val="24"/>
        </w:rPr>
        <w:t>报告生成完毕。请蓝队出庭律师逐条审核，审核完成后可启动红蓝对抗演练（三轮冲击控制器）。</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