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庭审提纲</w:t>
      </w:r>
    </w:p>
    <w:p>
      <w:r>
        <w:rPr>
          <w:rFonts w:ascii="宋体" w:hAnsi="宋体" w:eastAsia="宋体"/>
          <w:b/>
          <w:sz w:val="24"/>
        </w:rPr>
        <w:t>案件</w:t>
      </w:r>
      <w:r>
        <w:rPr>
          <w:rFonts w:ascii="宋体" w:hAnsi="宋体" w:eastAsia="宋体"/>
          <w:b w:val="0"/>
          <w:sz w:val="24"/>
        </w:rPr>
        <w:t>：贵州省厚德公益基金会诉道真百益社工中心/李丽/李佳豪合同纠纷上诉案</w:t>
      </w:r>
    </w:p>
    <w:p>
      <w:r>
        <w:rPr>
          <w:rFonts w:ascii="宋体" w:hAnsi="宋体" w:eastAsia="宋体"/>
          <w:b/>
          <w:sz w:val="24"/>
        </w:rPr>
        <w:t>案号</w:t>
      </w:r>
      <w:r>
        <w:rPr>
          <w:rFonts w:ascii="宋体" w:hAnsi="宋体" w:eastAsia="宋体"/>
          <w:b w:val="0"/>
          <w:sz w:val="24"/>
        </w:rPr>
        <w:t>：（2026）黔03民终___号（二审上诉）</w:t>
      </w:r>
    </w:p>
    <w:p>
      <w:r>
        <w:rPr>
          <w:rFonts w:ascii="宋体" w:hAnsi="宋体" w:eastAsia="宋体"/>
          <w:b/>
          <w:sz w:val="24"/>
        </w:rPr>
        <w:t>开庭日期</w:t>
      </w:r>
      <w:r>
        <w:rPr>
          <w:rFonts w:ascii="宋体" w:hAnsi="宋体" w:eastAsia="宋体"/>
          <w:b w:val="0"/>
          <w:sz w:val="24"/>
        </w:rPr>
        <w:t xml:space="preserve">：______  </w:t>
      </w:r>
      <w:r>
        <w:rPr>
          <w:rFonts w:ascii="宋体" w:hAnsi="宋体" w:eastAsia="宋体"/>
          <w:b/>
          <w:sz w:val="24"/>
        </w:rPr>
        <w:t>法庭</w:t>
      </w:r>
      <w:r>
        <w:rPr>
          <w:rFonts w:ascii="宋体" w:hAnsi="宋体" w:eastAsia="宋体"/>
          <w:b w:val="0"/>
          <w:sz w:val="24"/>
        </w:rPr>
        <w:t xml:space="preserve">：______  </w:t>
      </w:r>
      <w:r>
        <w:rPr>
          <w:rFonts w:ascii="宋体" w:hAnsi="宋体" w:eastAsia="宋体"/>
          <w:b/>
          <w:sz w:val="24"/>
        </w:rPr>
        <w:t>承办法官</w:t>
      </w:r>
      <w:r>
        <w:rPr>
          <w:rFonts w:ascii="宋体" w:hAnsi="宋体" w:eastAsia="宋体"/>
          <w:b w:val="0"/>
          <w:sz w:val="24"/>
        </w:rPr>
        <w:t>：______</w:t>
      </w:r>
    </w:p>
    <w:p>
      <w:r>
        <w:rPr>
          <w:rFonts w:ascii="宋体" w:hAnsi="宋体" w:eastAsia="宋体"/>
          <w:b/>
          <w:sz w:val="24"/>
        </w:rPr>
        <w:t>我方身份</w:t>
      </w:r>
      <w:r>
        <w:rPr>
          <w:rFonts w:ascii="宋体" w:hAnsi="宋体" w:eastAsia="宋体"/>
          <w:b w:val="0"/>
          <w:sz w:val="24"/>
        </w:rPr>
        <w:t>：上诉人（一审原告）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一、开庭宣告阶段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6"/>
        </w:rPr>
        <w:t>我方陈述</w:t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  <w:t>"上诉人贵州省厚德公益基金会，法定代表人刘桂湘，委托代理人______（律师姓名），到庭参加本案二审庭审。"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6"/>
        </w:rPr>
        <w:t>核对身份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上诉人身份已核对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对方当事人/代理人已到庭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审判人员身份已核对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二、法庭调查阶段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6"/>
        </w:rPr>
        <w:t>（一）程序事项核查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确认本案为二审程序（不服一审驳回起诉裁定）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确认上诉人在法定期限内提起上诉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确认一审裁定送达日期和上诉日期</w:t>
      </w:r>
    </w:p>
    <w:p>
      <w:r>
        <w:rPr>
          <w:rFonts w:ascii="宋体" w:hAnsi="宋体" w:eastAsia="宋体"/>
          <w:b/>
          <w:sz w:val="24"/>
        </w:rPr>
        <w:t>宣读上诉请求</w:t>
      </w:r>
      <w:r>
        <w:rPr>
          <w:rFonts w:ascii="宋体" w:hAnsi="宋体" w:eastAsia="宋体"/>
          <w:b w:val="0"/>
          <w:sz w:val="24"/>
        </w:rPr>
        <w:t>（约1分钟）：</w:t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  <w:t>"审判长，上诉人不服一审驳回起诉裁定提起上诉，核心理由是：</w:t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  <w:t>第一，一审裁定采纳了未经举证质证的'涉嫌经济犯罪'事实，程序严重违法；</w:t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  <w:t>第二，三被上诉人均未被刑事立案侦查，不存在涉嫌经济犯罪的事实；</w:t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  <w:t>第三，本案与马婵娟涉嫌犯罪案件不是同一法律事实或同一法律关系，应适用《经济犯罪嫌疑规定》第1条或第10条分别审理，而非第11条驳回起诉；</w:t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  <w:t>第四，根据九民纪要第128条第(2)项，即便马婵娟涉嫌犯罪，上诉人仍有权向百益服务中心主张民事责任，法院应分别审理。</w:t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  <w:t>**上诉请求**：撤销一审裁定，指令继续审理。"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6"/>
        </w:rPr>
        <w:t>（三）举证与质证</w:t>
      </w:r>
    </w:p>
    <w:p>
      <w:pPr>
        <w:pStyle w:val="Heading4"/>
        <w:jc w:val="left"/>
      </w:pPr>
      <w:r>
        <w:rPr>
          <w:rFonts w:ascii="黑体" w:hAnsi="黑体" w:eastAsia="黑体"/>
          <w:b/>
          <w:sz w:val="24"/>
        </w:rPr>
        <w:t>我方举证（如需补充新证据）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证据序号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证据名称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证明目的</w:t>
            </w:r>
          </w:p>
        </w:tc>
        <w:tc>
          <w:tcPr>
            <w:tcW w:type="dxa" w:w="216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2025年2月25日《庭审笔录》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一审裁定依据的事实未经质证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/>
                <w:sz w:val="20"/>
              </w:rPr>
              <w:t>关键证据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《项目合作协议书》+《捐赠协议书》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合同关系存在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原件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善款支付凭证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款项已支付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原件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项目履行证据（食堂运营记录等）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项目已实际开展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待补充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公安机关查询记录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三被上诉人未被立案侦查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/>
                <w:sz w:val="20"/>
              </w:rPr>
              <w:t>待补充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真实性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要求出示原件，质疑真实性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合法性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系案外人之间的协议，与本案无关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关联性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即便真实，也仅涉及案外人，不能证明本案涉嫌经济犯罪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证明目的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不能证明百益服务中心涉嫌经济犯罪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追问问题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我方应答要点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"你们是否知道马婵娟涉嫌犯罪的情况？"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"知道马婵娟被立案侦查，但与本案无关。马婵娟个人行为不代表百益服务中心，法人独立地位应当得到尊重。《民法典》第57条明确规定法人独立承担民事责任。"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"你们的善款最终去向如何？"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"善款支付至百益服务中心后专项用于慈善项目，项目已实际开展，为社区老人提供免费食堂餐饮服务，资金去向清晰。"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"你们认为一审裁定有什么问题？"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"一审裁定认定事实错误（采纳未经质证的事实）和适用法律错误（错误适用《经济犯罪嫌疑规定》第11条）。"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/>
                <w:sz w:val="20"/>
              </w:rPr>
              <w:t>"你们主张的合同关系有没有履行？"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"我方已依约支付善款，百益服务中心也实际开展了慈善项目。如需补充项目履行证据，我方可以庭后提交。"</w:t>
            </w:r>
          </w:p>
        </w:tc>
      </w:tr>
    </w:tbl>
    <w:p>
      <w:pPr>
        <w:pStyle w:val="Heading3"/>
        <w:jc w:val="left"/>
      </w:pPr>
      <w:r>
        <w:rPr>
          <w:rFonts w:ascii="黑体" w:hAnsi="黑体" w:eastAsia="黑体"/>
          <w:b/>
          <w:sz w:val="26"/>
        </w:rPr>
        <w:t>（一）争议焦点确认</w:t>
      </w:r>
    </w:p>
    <w:p>
      <w:r>
        <w:rPr>
          <w:rFonts w:ascii="宋体" w:hAnsi="宋体" w:eastAsia="宋体"/>
          <w:b/>
          <w:sz w:val="24"/>
        </w:rPr>
        <w:t>预期争议焦点</w:t>
      </w:r>
      <w:r>
        <w:rPr>
          <w:rFonts w:ascii="宋体" w:hAnsi="宋体" w:eastAsia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一审裁定依据的"涉嫌经济犯罪"事实是否经过举证质证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百益服务中心、李丽、李佳豪是否涉嫌经济犯罪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本案应适用《经济犯罪嫌疑规定》第11条还是第1条/第10条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九民纪要第128条是否适用于本案</w:t>
      </w:r>
    </w:p>
    <w:p>
      <w:pPr>
        <w:pStyle w:val="Heading4"/>
        <w:jc w:val="left"/>
      </w:pPr>
      <w:r>
        <w:rPr>
          <w:rFonts w:ascii="黑体" w:hAnsi="黑体" w:eastAsia="黑体"/>
          <w:b/>
          <w:sz w:val="24"/>
        </w:rPr>
        <w:t>焦点一：一审程序违法</w:t>
      </w:r>
    </w:p>
    <w:p>
      <w:r>
        <w:rPr>
          <w:rFonts w:ascii="宋体" w:hAnsi="宋体" w:eastAsia="宋体"/>
          <w:b/>
          <w:sz w:val="24"/>
        </w:rPr>
        <w:t>我方论证</w:t>
      </w:r>
      <w:r>
        <w:rPr>
          <w:rFonts w:ascii="宋体" w:hAnsi="宋体" w:eastAsia="宋体"/>
          <w:b w:val="0"/>
          <w:sz w:val="24"/>
        </w:rPr>
        <w:t>：</w:t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  <w:t>"一审裁定采纳的'涉嫌经济犯罪'事实，未经举证质证，违反《民事诉讼法》第68条。证据未经质证不能作为裁判依据，这是民事诉讼的基本原则。"</w:t>
      </w:r>
    </w:p>
    <w:p>
      <w:r>
        <w:rPr>
          <w:rFonts w:ascii="宋体" w:hAnsi="宋体" w:eastAsia="宋体"/>
          <w:b/>
          <w:sz w:val="24"/>
        </w:rPr>
        <w:t>法律依据</w:t>
      </w:r>
      <w:r>
        <w:rPr>
          <w:rFonts w:ascii="宋体" w:hAnsi="宋体" w:eastAsia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《民事诉讼法》第68条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《证据若干规定》第47条</w:t>
      </w:r>
    </w:p>
    <w:p>
      <w:pPr>
        <w:pStyle w:val="Heading4"/>
        <w:jc w:val="left"/>
      </w:pPr>
      <w:r>
        <w:rPr>
          <w:rFonts w:ascii="黑体" w:hAnsi="黑体" w:eastAsia="黑体"/>
          <w:b/>
          <w:sz w:val="24"/>
        </w:rPr>
        <w:t>焦点二：第11条的严格适用</w:t>
      </w:r>
    </w:p>
    <w:p>
      <w:r>
        <w:rPr>
          <w:rFonts w:ascii="宋体" w:hAnsi="宋体" w:eastAsia="宋体"/>
          <w:b/>
          <w:sz w:val="24"/>
        </w:rPr>
        <w:t>我方论证</w:t>
      </w:r>
      <w:r>
        <w:rPr>
          <w:rFonts w:ascii="宋体" w:hAnsi="宋体" w:eastAsia="宋体"/>
          <w:b w:val="0"/>
          <w:sz w:val="24"/>
        </w:rPr>
        <w:t>：</w:t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  <w:t>"《经济犯罪嫌疑规定》第11条的适用前提是'不属经济纠纷案件而有经济犯罪嫌疑'，即整个案件本质上是刑事案件。但本案是典型的民事合同纠纷，不符合第11条的适用前提。"</w:t>
      </w:r>
    </w:p>
    <w:p>
      <w:r>
        <w:rPr>
          <w:rFonts w:ascii="宋体" w:hAnsi="宋体" w:eastAsia="宋体"/>
          <w:b/>
          <w:sz w:val="24"/>
        </w:rPr>
        <w:t>法律依据</w:t>
      </w:r>
      <w:r>
        <w:rPr>
          <w:rFonts w:ascii="宋体" w:hAnsi="宋体" w:eastAsia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《经济犯罪嫌疑规定》第11条（反面依据）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《经济犯罪嫌疑规定》第1条、第10条（应适用依据）</w:t>
      </w:r>
    </w:p>
    <w:p>
      <w:pPr>
        <w:pStyle w:val="Heading4"/>
        <w:jc w:val="left"/>
      </w:pPr>
      <w:r>
        <w:rPr>
          <w:rFonts w:ascii="黑体" w:hAnsi="黑体" w:eastAsia="黑体"/>
          <w:b/>
          <w:sz w:val="24"/>
        </w:rPr>
        <w:t>焦点三：九民纪要第128条</w:t>
      </w:r>
    </w:p>
    <w:p>
      <w:r>
        <w:rPr>
          <w:rFonts w:ascii="宋体" w:hAnsi="宋体" w:eastAsia="宋体"/>
          <w:b/>
          <w:sz w:val="24"/>
        </w:rPr>
        <w:t>我方论证</w:t>
      </w:r>
      <w:r>
        <w:rPr>
          <w:rFonts w:ascii="宋体" w:hAnsi="宋体" w:eastAsia="宋体"/>
          <w:b w:val="0"/>
          <w:sz w:val="24"/>
        </w:rPr>
        <w:t>：</w:t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  <w:t>"根据九民纪要第128条第(2)项，行为人以法人名义订立合同涉嫌犯罪，合同相对人请求法人承担民事责任的，应当分别审理。本案完全符合该情形。"</w:t>
      </w:r>
    </w:p>
    <w:p>
      <w:r>
        <w:rPr>
          <w:rFonts w:ascii="宋体" w:hAnsi="宋体" w:eastAsia="宋体"/>
          <w:b/>
          <w:sz w:val="24"/>
        </w:rPr>
        <w:t>法律依据</w:t>
      </w:r>
      <w:r>
        <w:rPr>
          <w:rFonts w:ascii="宋体" w:hAnsi="宋体" w:eastAsia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九民纪要第128条第(2)项</w:t>
      </w:r>
    </w:p>
    <w:p>
      <w:pPr>
        <w:pStyle w:val="Heading4"/>
        <w:jc w:val="left"/>
      </w:pPr>
      <w:r>
        <w:rPr>
          <w:rFonts w:ascii="黑体" w:hAnsi="黑体" w:eastAsia="黑体"/>
          <w:b/>
          <w:sz w:val="24"/>
        </w:rPr>
        <w:t>焦点四：法人独立地位</w:t>
      </w:r>
    </w:p>
    <w:p>
      <w:r>
        <w:rPr>
          <w:rFonts w:ascii="宋体" w:hAnsi="宋体" w:eastAsia="宋体"/>
          <w:b/>
          <w:sz w:val="24"/>
        </w:rPr>
        <w:t>我方论证</w:t>
      </w:r>
      <w:r>
        <w:rPr>
          <w:rFonts w:ascii="宋体" w:hAnsi="宋体" w:eastAsia="宋体"/>
          <w:b w:val="0"/>
          <w:sz w:val="24"/>
        </w:rPr>
        <w:t>：</w:t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  <w:t>"法定代表人或实际控制人个人涉嫌犯罪，不等于法人主体涉嫌犯罪。百益服务中心是独立法人，《民法典》第57条明确规定法人独立承担民事责任。"</w:t>
      </w:r>
    </w:p>
    <w:p>
      <w:r>
        <w:rPr>
          <w:rFonts w:ascii="宋体" w:hAnsi="宋体" w:eastAsia="宋体"/>
          <w:b/>
          <w:sz w:val="24"/>
        </w:rPr>
        <w:t>法律依据</w:t>
      </w:r>
      <w:r>
        <w:rPr>
          <w:rFonts w:ascii="宋体" w:hAnsi="宋体" w:eastAsia="宋体"/>
          <w:b w:val="0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《民法典》第57条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6"/>
        </w:rPr>
        <w:t>（三）对方可能论点及反驳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对方可能论点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我方反驳要点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"马婵娟是实际控制人，马婵娟涉嫌犯罪即百益服务中心涉嫌犯罪"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法人独立地位；个人犯罪 ≠ 法人犯罪；《民法典》第57条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"本案涉及经济犯罪嫌疑，应驳回起诉"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本案是经济纠纷，不符合第11条"不属经济纠纷"的适用前提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"马婵娟可能挪用了善款"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即便如此，根据九民纪要第128条，仍应分别审理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"法官依职权查明的事实无需质证"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b w:val="0"/>
                <w:sz w:val="20"/>
              </w:rPr>
              <w:t>涉及当事人重大权益的事实，仍应保障质证权利</w:t>
            </w:r>
          </w:p>
        </w:tc>
      </w:tr>
    </w:tbl>
    <w:p>
      <w:r>
        <w:rPr>
          <w:rFonts w:ascii="宋体" w:hAnsi="宋体" w:eastAsia="宋体"/>
          <w:b/>
          <w:sz w:val="24"/>
        </w:rPr>
        <w:t>最后陈述</w:t>
      </w:r>
      <w:r>
        <w:rPr>
          <w:rFonts w:ascii="宋体" w:hAnsi="宋体" w:eastAsia="宋体"/>
          <w:b w:val="0"/>
          <w:sz w:val="24"/>
        </w:rPr>
        <w:t>（约30秒）：</w:t>
      </w:r>
    </w:p>
    <w:p>
      <w:pPr>
        <w:ind w:left="567" w:firstLine="0"/>
      </w:pPr>
      <w:r>
        <w:rPr>
          <w:rFonts w:ascii="楷体" w:hAnsi="楷体" w:eastAsia="楷体"/>
          <w:b w:val="0"/>
          <w:sz w:val="22"/>
        </w:rPr>
        <w:t>"审判长，综上所述，一审裁定存在认定事实错误和适用法律错误。上诉人与百益服务中心之间的合同纠纷是独立的民事案件，不应因案外人涉嫌犯罪而被驳回起诉。请求二审法院依法支持上诉人的上诉请求，撤销一审裁定，指令继续审理，以保障上诉人的合法债权能够进入实体审理程序。"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五、庭审注意事项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6"/>
        </w:rPr>
        <w:t>⚠️ 程序红线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 xml:space="preserve">[ ] </w:t>
      </w:r>
      <w:r>
        <w:rPr>
          <w:rFonts w:ascii="宋体" w:hAnsi="宋体" w:eastAsia="宋体"/>
          <w:b/>
          <w:sz w:val="24"/>
        </w:rPr>
        <w:t>不当庭认领未核实的金额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 xml:space="preserve">[ ] </w:t>
      </w:r>
      <w:r>
        <w:rPr>
          <w:rFonts w:ascii="宋体" w:hAnsi="宋体" w:eastAsia="宋体"/>
          <w:b/>
          <w:sz w:val="24"/>
        </w:rPr>
        <w:t>不随意同意调解框架</w:t>
      </w:r>
      <w:r>
        <w:rPr>
          <w:rFonts w:ascii="宋体" w:hAnsi="宋体" w:eastAsia="宋体"/>
          <w:b w:val="0"/>
          <w:sz w:val="24"/>
        </w:rPr>
        <w:t>（本案为程序性裁定上诉，调解前提不存在）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 xml:space="preserve">[ ] </w:t>
      </w:r>
      <w:r>
        <w:rPr>
          <w:rFonts w:ascii="宋体" w:hAnsi="宋体" w:eastAsia="宋体"/>
          <w:b/>
          <w:sz w:val="24"/>
        </w:rPr>
        <w:t>不承认任何未经核实的"事实"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如法官明显倾向维持一审裁定，</w:t>
      </w:r>
      <w:r>
        <w:rPr>
          <w:rFonts w:ascii="宋体" w:hAnsi="宋体" w:eastAsia="宋体"/>
          <w:b/>
          <w:sz w:val="24"/>
        </w:rPr>
        <w:t>当庭申请将我方意见记入庭审笔录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庭后3日内申请法院向公安机关发函查询三被上诉人立案情况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庭后5日内将所有"网络检索，待核实"的案例通过官方数据库二次核对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六、随身携带清单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上诉状副本（3份）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一审裁定书复印件（3份）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庭审准备报告（本提纲）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代理词（3份）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《项目合作协议书》原件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《捐赠协议书》原件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善款支付凭证原件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身份证复印件（上诉人法定代表人）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[ ] 授权委托书（2份）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程序应对</w:t>
      </w:r>
      <w:r>
        <w:rPr>
          <w:rFonts w:ascii="宋体" w:hAnsi="宋体" w:eastAsia="宋体"/>
          <w:b w:val="0"/>
          <w:sz w:val="24"/>
        </w:rPr>
        <w:t>：要求法庭允许庭后书面质证意见</w:t>
      </w:r>
    </w:p>
    <w:p>
      <w:pPr>
        <w:pStyle w:val="Heading3"/>
        <w:jc w:val="left"/>
      </w:pPr>
      <w:r>
        <w:rPr>
          <w:rFonts w:ascii="黑体" w:hAnsi="黑体" w:eastAsia="黑体"/>
          <w:b/>
          <w:sz w:val="26"/>
        </w:rPr>
        <w:t>情况2：法官暗示维持一审裁定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立即应对</w:t>
      </w:r>
      <w:r>
        <w:rPr>
          <w:rFonts w:ascii="宋体" w:hAnsi="宋体" w:eastAsia="宋体"/>
          <w:b w:val="0"/>
          <w:sz w:val="24"/>
        </w:rPr>
        <w:t>：当庭宣读九民纪要第128条第(2)项全文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程序应对</w:t>
      </w:r>
      <w:r>
        <w:rPr>
          <w:rFonts w:ascii="宋体" w:hAnsi="宋体" w:eastAsia="宋体"/>
          <w:b w:val="0"/>
          <w:sz w:val="24"/>
        </w:rPr>
        <w:t>：申请将我方法律意见记入庭审笔录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庭后行动</w:t>
      </w:r>
      <w:r>
        <w:rPr>
          <w:rFonts w:ascii="宋体" w:hAnsi="宋体" w:eastAsia="宋体"/>
          <w:b w:val="0"/>
          <w:sz w:val="24"/>
        </w:rPr>
        <w:t>：考虑向上级法院申诉或申请检察监督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保持冷静</w:t>
      </w:r>
      <w:r>
        <w:rPr>
          <w:rFonts w:ascii="宋体" w:hAnsi="宋体" w:eastAsia="宋体"/>
          <w:b w:val="0"/>
          <w:sz w:val="24"/>
        </w:rPr>
        <w:t>：不与对方发生言语冲突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聚焦法律</w:t>
      </w:r>
      <w:r>
        <w:rPr>
          <w:rFonts w:ascii="宋体" w:hAnsi="宋体" w:eastAsia="宋体"/>
          <w:b w:val="0"/>
          <w:sz w:val="24"/>
        </w:rPr>
        <w:t>：仅就法律问题发表意见，不涉及人身攻击</w:t>
      </w:r>
    </w:p>
    <w:p>
      <w:r>
        <w:rPr>
          <w:rFonts w:ascii="宋体" w:hAnsi="宋体" w:eastAsia="宋体"/>
          <w:b/>
          <w:sz w:val="24"/>
        </w:rPr>
        <w:t>提纲制定人</w:t>
      </w:r>
      <w:r>
        <w:rPr>
          <w:rFonts w:ascii="宋体" w:hAnsi="宋体" w:eastAsia="宋体"/>
          <w:b w:val="0"/>
          <w:sz w:val="24"/>
        </w:rPr>
        <w:t xml:space="preserve">：______  </w:t>
      </w:r>
      <w:r>
        <w:rPr>
          <w:rFonts w:ascii="宋体" w:hAnsi="宋体" w:eastAsia="宋体"/>
          <w:b/>
          <w:sz w:val="24"/>
        </w:rPr>
        <w:t>日期</w:t>
      </w:r>
      <w:r>
        <w:rPr>
          <w:rFonts w:ascii="宋体" w:hAnsi="宋体" w:eastAsia="宋体"/>
          <w:b w:val="0"/>
          <w:sz w:val="24"/>
        </w:rPr>
        <w:t>：______</w:t>
      </w:r>
    </w:p>
    <w:p>
      <w:r>
        <w:rPr>
          <w:rFonts w:ascii="宋体" w:hAnsi="宋体" w:eastAsia="宋体"/>
          <w:b/>
          <w:sz w:val="24"/>
        </w:rPr>
        <w:t>复核律师</w:t>
      </w:r>
      <w:r>
        <w:rPr>
          <w:rFonts w:ascii="宋体" w:hAnsi="宋体" w:eastAsia="宋体"/>
          <w:b w:val="0"/>
          <w:sz w:val="24"/>
        </w:rPr>
        <w:t xml:space="preserve">：______  </w:t>
      </w:r>
      <w:r>
        <w:rPr>
          <w:rFonts w:ascii="宋体" w:hAnsi="宋体" w:eastAsia="宋体"/>
          <w:b/>
          <w:sz w:val="24"/>
        </w:rPr>
        <w:t>日期</w:t>
      </w:r>
      <w:r>
        <w:rPr>
          <w:rFonts w:ascii="宋体" w:hAnsi="宋体" w:eastAsia="宋体"/>
          <w:b w:val="0"/>
          <w:sz w:val="24"/>
        </w:rPr>
        <w:t>：______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