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body>
    <w:p>
      <w:pPr>
        <w:pStyle w:val="Heading1"/>
      </w:pPr>
      <w:r>
        <w:t xml:space="preserve">中国裁判文书网慈善组织判决案例汇编</w:t>
      </w:r>
    </w:p>
    <w:p>
      <w:pPr/>
    </w:p>
    <w:p>
      <w:pPr>
        <w:ind w:left="720"/>
        <w:pBdr>
          <w:left w:val="single" w:sz="12" w:space="1" w:color="CCCCCC"/>
        </w:pBdr>
      </w:pPr>
      <w:r>
        <w:t xml:space="preserve">*</w:t>
      </w:r>
      <w:r>
        <w:rPr>
          <w:i/>
        </w:rPr>
        <w:t xml:space="preserve">检索时间</w:t>
      </w:r>
      <w:r>
        <w:rPr>
          <w:b/>
          <w:i/>
        </w:rPr>
        <w:t xml:space="preserve">：2026年6月13日
</w:t>
      </w:r>
      <w:r>
        <w:rPr>
          <w:i/>
        </w:rPr>
        <w:t xml:space="preserve">检索范围</w:t>
      </w:r>
      <w:r>
        <w:t xml:space="preserve">*：中国裁判文书网及最高人民法院指导案例库
</w:t>
      </w:r>
      <w:r>
        <w:rPr>
          <w:b/>
        </w:rPr>
        <w:t xml:space="preserve">检索关键词</w:t>
      </w:r>
      <w:r>
        <w:t xml:space="preserve">：慈善组织、基金会、慈善协会、公益诉讼、捐赠合同、赠与合同</w:t>
      </w:r>
    </w:p>
    <w:p>
      <w:pPr/>
    </w:p>
    <w:p>
      <w:pPr>
        <w:pBdr>
          <w:bottom w:val="single" w:sz="8" w:space="1" w:color="000000"/>
        </w:pBdr>
        <w:spacing w:before="120" w:after="120"/>
      </w:pPr>
      <w:r>
        <w:t/>
      </w:r>
    </w:p>
    <w:p>
      <w:pPr/>
    </w:p>
    <w:p>
      <w:pPr>
        <w:pStyle w:val="Heading2"/>
      </w:pPr>
      <w:r>
        <w:t xml:space="preserve">目录</w:t>
      </w:r>
    </w:p>
    <w:p>
      <w:pPr/>
    </w:p>
    <w:p>
      <w:pPr>
        <w:ind w:left="720" w:hanging="360"/>
        <w:numPr>
          <w:ilvl w:val="0"/>
          <w:numId w:val="2"/>
        </w:numPr>
        <w:spacing w:before="60" w:after="60"/>
      </w:pPr>
      <w:hyperlink>
        <w:r>
          <w:rPr>
            <w:color w:val="0000FF"/>
            <w:u w:val="single"/>
          </w:rPr>
          <w:t xml:space="preserve">案例一：(2023)宁0104民初1901号 — 永康润达公司诉宁夏燕宝慈善基金会合同纠纷案</w:t>
        </w:r>
      </w:hyperlink>
    </w:p>
    <w:p>
      <w:pPr>
        <w:ind w:left="720" w:hanging="360"/>
        <w:numPr>
          <w:ilvl w:val="0"/>
          <w:numId w:val="2"/>
        </w:numPr>
        <w:spacing w:before="60" w:after="60"/>
      </w:pPr>
      <w:hyperlink>
        <w:r>
          <w:rPr>
            <w:color w:val="0000FF"/>
            <w:u w:val="single"/>
          </w:rPr>
          <w:t xml:space="preserve">案例二：吴幽与中国矿业大学教育发展基金会赠与合同纠纷案（2022年）</w:t>
        </w:r>
      </w:hyperlink>
    </w:p>
    <w:p>
      <w:pPr>
        <w:ind w:left="720" w:hanging="360"/>
        <w:numPr>
          <w:ilvl w:val="0"/>
          <w:numId w:val="2"/>
        </w:numPr>
        <w:spacing w:before="60" w:after="60"/>
      </w:pPr>
      <w:hyperlink>
        <w:r>
          <w:rPr>
            <w:color w:val="0000FF"/>
            <w:u w:val="single"/>
          </w:rPr>
          <w:t xml:space="preserve">案例三：(2002)云高民三终字第26号 — 美国妈妈联谊会诉丽江妈妈联谊会捐赠纠纷案</w:t>
        </w:r>
      </w:hyperlink>
    </w:p>
    <w:p>
      <w:pPr>
        <w:ind w:left="720" w:hanging="360"/>
        <w:numPr>
          <w:ilvl w:val="0"/>
          <w:numId w:val="2"/>
        </w:numPr>
        <w:spacing w:before="60" w:after="60"/>
      </w:pPr>
      <w:hyperlink>
        <w:r>
          <w:rPr>
            <w:color w:val="0000FF"/>
            <w:u w:val="single"/>
          </w:rPr>
          <w:t xml:space="preserve">案例四：指导案例174号 — (2015)甘民初字第45号 中国绿发会诉雅砻江流域水电开发有限公司环境公益诉讼案</w:t>
        </w:r>
      </w:hyperlink>
    </w:p>
    <w:p>
      <w:pPr>
        <w:ind w:left="720" w:hanging="360"/>
        <w:numPr>
          <w:ilvl w:val="0"/>
          <w:numId w:val="2"/>
        </w:numPr>
        <w:spacing w:before="60" w:after="60"/>
      </w:pPr>
      <w:hyperlink>
        <w:r>
          <w:rPr>
            <w:color w:val="0000FF"/>
            <w:u w:val="single"/>
          </w:rPr>
          <w:t xml:space="preserve">案例五：(2021)粤01民初576号 — 中国绿发会诉肖习文生态破坏民事公益诉讼案</w:t>
        </w:r>
      </w:hyperlink>
    </w:p>
    <w:p>
      <w:pPr>
        <w:ind w:left="720" w:hanging="360"/>
        <w:numPr>
          <w:ilvl w:val="0"/>
          <w:numId w:val="2"/>
        </w:numPr>
        <w:spacing w:before="60" w:after="60"/>
      </w:pPr>
      <w:hyperlink>
        <w:r>
          <w:rPr>
            <w:color w:val="0000FF"/>
            <w:u w:val="single"/>
          </w:rPr>
          <w:t xml:space="preserve">案例六：延长县慈善协会诉刘某某等民间借贷纠纷案</w:t>
        </w:r>
      </w:hyperlink>
    </w:p>
    <w:p>
      <w:pPr>
        <w:ind w:left="720" w:hanging="360"/>
        <w:numPr>
          <w:ilvl w:val="0"/>
          <w:numId w:val="2"/>
        </w:numPr>
        <w:spacing w:before="60" w:after="60"/>
      </w:pPr>
      <w:hyperlink>
        <w:r>
          <w:rPr>
            <w:color w:val="0000FF"/>
            <w:u w:val="single"/>
          </w:rPr>
          <w:t xml:space="preserve">案例七：北京某装饰公司与某基金会公益事业捐赠合同纠纷案（2025年）</w:t>
        </w:r>
      </w:hyperlink>
    </w:p>
    <w:p>
      <w:pPr/>
    </w:p>
    <w:p>
      <w:pPr>
        <w:pBdr>
          <w:bottom w:val="single" w:sz="8" w:space="1" w:color="000000"/>
        </w:pBdr>
        <w:spacing w:before="120" w:after="120"/>
      </w:pPr>
      <w:r>
        <w:t/>
      </w:r>
    </w:p>
    <w:p>
      <w:pPr/>
    </w:p>
    <w:p>
      <w:pPr/>
      <w:r>
        <w:t xml:space="preserve">&lt;a name="案例一"&gt;&lt;/a&gt;</w:t>
      </w:r>
    </w:p>
    <w:p>
      <w:pPr>
        <w:pStyle w:val="Heading2"/>
      </w:pPr>
      <w:r>
        <w:t xml:space="preserve">案例一：(2023)宁0104民初1901号 — 永康润达公司诉宁夏燕宝慈善基金会合同纠纷案</w:t>
      </w:r>
    </w:p>
    <w:p>
      <w:pPr/>
    </w:p>
    <w:p>
      <w:pPr>
        <w:pStyle w:val="Heading3"/>
      </w:pPr>
      <w:r>
        <w:t xml:space="preserve">一、基本信息</w:t>
      </w:r>
    </w:p>
    <w:p>
      <w:pPr/>
    </w:p>
    <w:tbl>
      <w:tblPr>
        <w:tblStyle w:val="TableGrid"/>
        <w:tblW w:w="5000" w:type="pct"/>
      </w:tblPr>
      <w:tr>
        <w:tc>
          <w:tcPr>
            <w:tcW w:w="1800" w:type="dxa"/>
            <w:shd w:val="clear" w:color="auto" w:fill="E7E6E6"/>
          </w:tcPr>
          <w:p>
            <w:pPr>
              <w:jc w:val="left"/>
            </w:pPr>
            <w:r>
              <w:t xml:space="preserve">项目</w:t>
            </w:r>
          </w:p>
        </w:tc>
        <w:tc>
          <w:tcPr>
            <w:tcW w:w="1800" w:type="dxa"/>
            <w:shd w:val="clear" w:color="auto" w:fill="E7E6E6"/>
          </w:tcPr>
          <w:p>
            <w:pPr>
              <w:jc w:val="left"/>
            </w:pPr>
            <w:r>
              <w:t xml:space="preserve">内容</w:t>
            </w:r>
          </w:p>
        </w:tc>
      </w:tr>
      <w:tr>
        <w:tc>
          <w:tcPr>
            <w:tcW w:w="1800" w:type="dxa"/>
          </w:tcPr>
          <w:p>
            <w:pPr>
              <w:jc w:val="left"/>
            </w:pPr>
            <w:r>
              <w:rPr>
                <w:b/>
              </w:rPr>
              <w:t xml:space="preserve">案号</w:t>
            </w:r>
          </w:p>
        </w:tc>
        <w:tc>
          <w:tcPr>
            <w:tcW w:w="1800" w:type="dxa"/>
          </w:tcPr>
          <w:p>
            <w:pPr>
              <w:jc w:val="left"/>
            </w:pPr>
            <w:r>
              <w:t xml:space="preserve">（2023）宁0104民初1901号</w:t>
            </w:r>
          </w:p>
        </w:tc>
      </w:tr>
      <w:tr>
        <w:tc>
          <w:tcPr>
            <w:tcW w:w="1800" w:type="dxa"/>
          </w:tcPr>
          <w:p>
            <w:pPr>
              <w:jc w:val="left"/>
            </w:pPr>
            <w:r>
              <w:rPr>
                <w:b/>
              </w:rPr>
              <w:t xml:space="preserve">审理法院</w:t>
            </w:r>
          </w:p>
        </w:tc>
        <w:tc>
          <w:tcPr>
            <w:tcW w:w="1800" w:type="dxa"/>
          </w:tcPr>
          <w:p>
            <w:pPr>
              <w:jc w:val="left"/>
            </w:pPr>
            <w:r>
              <w:t xml:space="preserve">宁夏回族自治区银川市兴庆区人民法院</w:t>
            </w:r>
          </w:p>
        </w:tc>
      </w:tr>
      <w:tr>
        <w:tc>
          <w:tcPr>
            <w:tcW w:w="1800" w:type="dxa"/>
          </w:tcPr>
          <w:p>
            <w:pPr>
              <w:jc w:val="left"/>
            </w:pPr>
            <w:r>
              <w:rPr>
                <w:b/>
              </w:rPr>
              <w:t xml:space="preserve">判决日期</w:t>
            </w:r>
          </w:p>
        </w:tc>
        <w:tc>
          <w:tcPr>
            <w:tcW w:w="1800" w:type="dxa"/>
          </w:tcPr>
          <w:p>
            <w:pPr>
              <w:jc w:val="left"/>
            </w:pPr>
            <w:r>
              <w:t xml:space="preserve">2023年4月6日</w:t>
            </w:r>
          </w:p>
        </w:tc>
      </w:tr>
      <w:tr>
        <w:tc>
          <w:tcPr>
            <w:tcW w:w="1800" w:type="dxa"/>
          </w:tcPr>
          <w:p>
            <w:pPr>
              <w:jc w:val="left"/>
            </w:pPr>
            <w:r>
              <w:rPr>
                <w:b/>
              </w:rPr>
              <w:t xml:space="preserve">审判员</w:t>
            </w:r>
          </w:p>
        </w:tc>
        <w:tc>
          <w:tcPr>
            <w:tcW w:w="1800" w:type="dxa"/>
          </w:tcPr>
          <w:p>
            <w:pPr>
              <w:jc w:val="left"/>
            </w:pPr>
            <w:r>
              <w:t xml:space="preserve">任涛</w:t>
            </w:r>
          </w:p>
        </w:tc>
      </w:tr>
      <w:tr>
        <w:tc>
          <w:tcPr>
            <w:tcW w:w="1800" w:type="dxa"/>
          </w:tcPr>
          <w:p>
            <w:pPr>
              <w:jc w:val="left"/>
            </w:pPr>
            <w:r>
              <w:rPr>
                <w:b/>
              </w:rPr>
              <w:t xml:space="preserve">原告</w:t>
            </w:r>
          </w:p>
        </w:tc>
        <w:tc>
          <w:tcPr>
            <w:tcW w:w="1800" w:type="dxa"/>
          </w:tcPr>
          <w:p>
            <w:pPr>
              <w:jc w:val="left"/>
            </w:pPr>
            <w:r>
              <w:t xml:space="preserve">永康市润达休闲用品有限公司</w:t>
            </w:r>
          </w:p>
        </w:tc>
      </w:tr>
      <w:tr>
        <w:tc>
          <w:tcPr>
            <w:tcW w:w="1800" w:type="dxa"/>
          </w:tcPr>
          <w:p>
            <w:pPr>
              <w:jc w:val="left"/>
            </w:pPr>
            <w:r>
              <w:rPr>
                <w:b/>
              </w:rPr>
              <w:t xml:space="preserve">被告一</w:t>
            </w:r>
          </w:p>
        </w:tc>
        <w:tc>
          <w:tcPr>
            <w:tcW w:w="1800" w:type="dxa"/>
          </w:tcPr>
          <w:p>
            <w:pPr>
              <w:jc w:val="left"/>
            </w:pPr>
            <w:r>
              <w:t xml:space="preserve">宁夏燕宝慈善基金会</w:t>
            </w:r>
          </w:p>
        </w:tc>
      </w:tr>
      <w:tr>
        <w:tc>
          <w:tcPr>
            <w:tcW w:w="1800" w:type="dxa"/>
          </w:tcPr>
          <w:p>
            <w:pPr>
              <w:jc w:val="left"/>
            </w:pPr>
            <w:r>
              <w:rPr>
                <w:b/>
              </w:rPr>
              <w:t xml:space="preserve">被告二</w:t>
            </w:r>
          </w:p>
        </w:tc>
        <w:tc>
          <w:tcPr>
            <w:tcW w:w="1800" w:type="dxa"/>
          </w:tcPr>
          <w:p>
            <w:pPr>
              <w:jc w:val="left"/>
            </w:pPr>
            <w:r>
              <w:t xml:space="preserve">宁夏英泰利机电设备有限公司</w:t>
            </w:r>
          </w:p>
        </w:tc>
      </w:tr>
      <w:tr>
        <w:tc>
          <w:tcPr>
            <w:tcW w:w="1800" w:type="dxa"/>
          </w:tcPr>
          <w:p>
            <w:pPr>
              <w:jc w:val="left"/>
            </w:pPr>
            <w:r>
              <w:rPr>
                <w:b/>
              </w:rPr>
              <w:t xml:space="preserve">案由</w:t>
            </w:r>
          </w:p>
        </w:tc>
        <w:tc>
          <w:tcPr>
            <w:tcW w:w="1800" w:type="dxa"/>
          </w:tcPr>
          <w:p>
            <w:pPr>
              <w:jc w:val="left"/>
            </w:pPr>
            <w:r>
              <w:t xml:space="preserve">合同纠纷</w:t>
            </w:r>
          </w:p>
        </w:tc>
      </w:tr>
    </w:tbl>
    <w:p>
      <w:pPr/>
    </w:p>
    <w:p>
      <w:pPr>
        <w:pStyle w:val="Heading3"/>
      </w:pPr>
      <w:r>
        <w:t xml:space="preserve">二、案件事实</w:t>
      </w:r>
    </w:p>
    <w:p>
      <w:pPr/>
    </w:p>
    <w:p>
      <w:pPr/>
      <w:r>
        <w:rPr>
          <w:b/>
        </w:rPr>
        <w:t xml:space="preserve">合同签订过程：</w:t>
      </w:r>
    </w:p>
    <w:p>
      <w:pPr/>
    </w:p>
    <w:p>
      <w:pPr>
        <w:ind w:left="720" w:hanging="360"/>
        <w:numPr>
          <w:ilvl w:val="0"/>
          <w:numId w:val="2"/>
        </w:numPr>
        <w:spacing w:before="60" w:after="60"/>
      </w:pPr>
      <w:r>
        <w:rPr>
          <w:b/>
        </w:rPr>
        <w:t xml:space="preserve">居间协议（2022年10月10日）</w:t>
      </w:r>
      <w:r>
        <w:t xml:space="preserve">：原告与英泰利公司签订《居间协议》，约定英泰利公司负责促成原告与燕宝基金会的折叠床采购合同，居间费6万元，英泰利公司负责货款回收。</w:t>
      </w:r>
    </w:p>
    <w:p>
      <w:pPr/>
    </w:p>
    <w:p>
      <w:pPr>
        <w:ind w:left="720" w:hanging="360"/>
        <w:numPr>
          <w:ilvl w:val="0"/>
          <w:numId w:val="2"/>
        </w:numPr>
        <w:spacing w:before="60" w:after="60"/>
      </w:pPr>
      <w:r>
        <w:rPr>
          <w:i/>
        </w:rPr>
        <w:t xml:space="preserve">|||ITALIC|||折叠床买卖合同（2022年10月11日）</w:t>
      </w:r>
      <w:r>
        <w:rPr>
          <w:b/>
          <w:i/>
        </w:rPr>
        <w:t xml:space="preserve">：原告与燕宝基金会签订合同，出售10000张折叠床，含税单价95元/张，总价95万元。约定"双方法定代表人或授权委托代理人签字且加盖单位合同专用章或公章"生效。</w:t>
      </w:r>
      <w:r>
        <w:rPr>
          <w:i/>
        </w:rPr>
        <w:t xml:space="preserve">但实际仅加盖印章，无签字</w:t>
      </w:r>
      <w:r>
        <w:t xml:space="preserve">|||/ITALIC|||。</w:t>
      </w:r>
    </w:p>
    <w:p>
      <w:pPr/>
    </w:p>
    <w:p>
      <w:pPr>
        <w:ind w:left="720" w:hanging="360"/>
        <w:numPr>
          <w:ilvl w:val="0"/>
          <w:numId w:val="2"/>
        </w:numPr>
        <w:spacing w:before="60" w:after="60"/>
      </w:pPr>
      <w:r>
        <w:rPr>
          <w:b/>
        </w:rPr>
        <w:t xml:space="preserve">追加订单（2022年10月21日）</w:t>
      </w:r>
      <w:r>
        <w:t xml:space="preserve">：英泰利公司要求增加购买2000张，单价75元/张（不含运费），支付定金9万元，原告垫付运费16,500元。</w:t>
      </w:r>
    </w:p>
    <w:p>
      <w:pPr/>
    </w:p>
    <w:p>
      <w:pPr>
        <w:ind w:left="720" w:hanging="360"/>
        <w:numPr>
          <w:ilvl w:val="0"/>
          <w:numId w:val="2"/>
        </w:numPr>
        <w:spacing w:before="60" w:after="60"/>
      </w:pPr>
      <w:r>
        <w:rPr>
          <w:b/>
        </w:rPr>
        <w:t xml:space="preserve">燕宝基金会与英泰利公司另签合同（2022年10月24日）</w:t>
      </w:r>
      <w:r>
        <w:t xml:space="preserve">：二者另行签订10000张折叠床买卖合同，英泰利公司委托代理人董健签字。</w:t>
      </w:r>
    </w:p>
    <w:p>
      <w:pPr/>
    </w:p>
    <w:p>
      <w:pPr/>
      <w:r>
        <w:rPr>
          <w:b/>
        </w:rPr>
        <w:t xml:space="preserve">履行情况：</w:t>
      </w:r>
    </w:p>
    <w:p>
      <w:pPr/>
    </w:p>
    <w:tbl>
      <w:tblPr>
        <w:tblStyle w:val="TableGrid"/>
        <w:tblW w:w="5000" w:type="pct"/>
      </w:tblPr>
      <w:tr>
        <w:tc>
          <w:tcPr>
            <w:tcW w:w="1800" w:type="dxa"/>
            <w:shd w:val="clear" w:color="auto" w:fill="E7E6E6"/>
          </w:tcPr>
          <w:p>
            <w:pPr>
              <w:jc w:val="left"/>
            </w:pPr>
            <w:r>
              <w:t xml:space="preserve">事项</w:t>
            </w:r>
          </w:p>
        </w:tc>
        <w:tc>
          <w:tcPr>
            <w:tcW w:w="1800" w:type="dxa"/>
            <w:shd w:val="clear" w:color="auto" w:fill="E7E6E6"/>
          </w:tcPr>
          <w:p>
            <w:pPr>
              <w:jc w:val="left"/>
            </w:pPr>
            <w:r>
              <w:t xml:space="preserve">详情</w:t>
            </w:r>
          </w:p>
        </w:tc>
      </w:tr>
      <w:tr>
        <w:tc>
          <w:tcPr>
            <w:tcW w:w="1800" w:type="dxa"/>
          </w:tcPr>
          <w:p>
            <w:pPr>
              <w:jc w:val="left"/>
            </w:pPr>
            <w:r>
              <w:t xml:space="preserve">原告交货</w:t>
            </w:r>
          </w:p>
        </w:tc>
        <w:tc>
          <w:tcPr>
            <w:tcW w:w="1800" w:type="dxa"/>
          </w:tcPr>
          <w:p>
            <w:pPr>
              <w:jc w:val="left"/>
            </w:pPr>
            <w:r>
              <w:t xml:space="preserve">2022年10月12日-31日，发货12,003张折叠床</w:t>
            </w:r>
          </w:p>
        </w:tc>
      </w:tr>
      <w:tr>
        <w:tc>
          <w:tcPr>
            <w:tcW w:w="1800" w:type="dxa"/>
          </w:tcPr>
          <w:p>
            <w:pPr>
              <w:jc w:val="left"/>
            </w:pPr>
            <w:r>
              <w:t xml:space="preserve">燕宝基金会付款</w:t>
            </w:r>
          </w:p>
        </w:tc>
        <w:tc>
          <w:tcPr>
            <w:tcW w:w="1800" w:type="dxa"/>
          </w:tcPr>
          <w:p>
            <w:pPr>
              <w:jc w:val="left"/>
            </w:pPr>
            <w:r>
              <w:t xml:space="preserve">2022年11月9日，向</w:t>
            </w:r>
            <w:r>
              <w:rPr>
                <w:b/>
              </w:rPr>
              <w:t xml:space="preserve">英泰利公司</w:t>
            </w:r>
            <w:r>
              <w:t xml:space="preserve">支付95万元</w:t>
            </w:r>
          </w:p>
        </w:tc>
      </w:tr>
      <w:tr>
        <w:tc>
          <w:tcPr>
            <w:tcW w:w="1800" w:type="dxa"/>
          </w:tcPr>
          <w:p>
            <w:pPr>
              <w:jc w:val="left"/>
            </w:pPr>
            <w:r>
              <w:t xml:space="preserve">英泰利公司向原告付款</w:t>
            </w:r>
          </w:p>
        </w:tc>
        <w:tc>
          <w:tcPr>
            <w:tcW w:w="1800" w:type="dxa"/>
          </w:tcPr>
          <w:p>
            <w:pPr>
              <w:jc w:val="left"/>
            </w:pPr>
            <w:r>
              <w:t xml:space="preserve">仅于2022年11月15日付30万元</w:t>
            </w:r>
          </w:p>
        </w:tc>
      </w:tr>
      <w:tr>
        <w:tc>
          <w:tcPr>
            <w:tcW w:w="1800" w:type="dxa"/>
          </w:tcPr>
          <w:p>
            <w:pPr>
              <w:jc w:val="left"/>
            </w:pPr>
            <w:r>
              <w:t xml:space="preserve">未付余额</w:t>
            </w:r>
          </w:p>
        </w:tc>
        <w:tc>
          <w:tcPr>
            <w:tcW w:w="1800" w:type="dxa"/>
          </w:tcPr>
          <w:p>
            <w:pPr>
              <w:jc w:val="left"/>
            </w:pPr>
            <w:r>
              <w:t xml:space="preserve">72.65万元（95万+16.65万-30万-9万）</w:t>
            </w:r>
          </w:p>
        </w:tc>
      </w:tr>
    </w:tbl>
    <w:p>
      <w:pPr/>
    </w:p>
    <w:p>
      <w:pPr>
        <w:pStyle w:val="Heading3"/>
      </w:pPr>
      <w:r>
        <w:t xml:space="preserve">三、争议焦点</w:t>
      </w:r>
    </w:p>
    <w:p>
      <w:pPr/>
    </w:p>
    <w:p>
      <w:pPr>
        <w:ind w:left="720" w:hanging="360"/>
        <w:numPr>
          <w:ilvl w:val="0"/>
          <w:numId w:val="2"/>
        </w:numPr>
        <w:spacing w:before="60" w:after="60"/>
      </w:pPr>
      <w:r>
        <w:t xml:space="preserve">燕宝基金会与原告之间的买卖合同是否生效（存在签字瑕疵）？</w:t>
      </w:r>
    </w:p>
    <w:p>
      <w:pPr>
        <w:ind w:left="720" w:hanging="360"/>
        <w:numPr>
          <w:ilvl w:val="0"/>
          <w:numId w:val="2"/>
        </w:numPr>
        <w:spacing w:before="60" w:after="60"/>
      </w:pPr>
      <w:r>
        <w:t xml:space="preserve">燕宝基金会是否应向原告支付货款？</w:t>
      </w:r>
    </w:p>
    <w:p>
      <w:pPr>
        <w:ind w:left="720" w:hanging="360"/>
        <w:numPr>
          <w:ilvl w:val="0"/>
          <w:numId w:val="2"/>
        </w:numPr>
        <w:spacing w:before="60" w:after="60"/>
      </w:pPr>
      <w:r>
        <w:t xml:space="preserve">英泰利公司应承担何种责任？</w:t>
      </w:r>
    </w:p>
    <w:p>
      <w:pPr/>
    </w:p>
    <w:p>
      <w:pPr>
        <w:pStyle w:val="Heading3"/>
      </w:pPr>
      <w:r>
        <w:t xml:space="preserve">四、法院裁判</w:t>
      </w:r>
    </w:p>
    <w:p>
      <w:pPr/>
    </w:p>
    <w:p>
      <w:pPr/>
      <w:r>
        <w:rPr>
          <w:b/>
        </w:rPr>
        <w:t xml:space="preserve">法院认定：</w:t>
      </w:r>
    </w:p>
    <w:p>
      <w:pPr/>
    </w:p>
    <w:p>
      <w:pPr>
        <w:ind w:left="720" w:hanging="360"/>
        <w:numPr>
          <w:ilvl w:val="0"/>
          <w:numId w:val="2"/>
        </w:numPr>
        <w:spacing w:before="60" w:after="60"/>
      </w:pPr>
      <w:r>
        <w:rPr>
          <w:b/>
        </w:rPr>
        <w:t xml:space="preserve">合同有效</w:t>
      </w:r>
      <w:r>
        <w:t xml:space="preserve">：虽然《折叠床买卖合同》仅有印章无法定代表人或委托代理人签字，存在形式上的瑕疵，但不影响合同效力。</w:t>
      </w:r>
    </w:p>
    <w:p>
      <w:pPr/>
    </w:p>
    <w:p>
      <w:pPr>
        <w:ind w:left="720" w:hanging="360"/>
        <w:numPr>
          <w:ilvl w:val="0"/>
          <w:numId w:val="2"/>
        </w:numPr>
        <w:spacing w:before="60" w:after="60"/>
      </w:pPr>
      <w:r>
        <w:rPr>
          <w:b/>
        </w:rPr>
        <w:t xml:space="preserve">燕宝基金会不承担付款责任</w:t>
      </w:r>
      <w:r>
        <w:t xml:space="preserve">：实际交易链条为"原告→英泰利公司→燕宝基金会"，基金会已向其合同相对方英泰利公司支付95万元，完成了付款义务。</w:t>
      </w:r>
    </w:p>
    <w:p>
      <w:pPr/>
    </w:p>
    <w:p>
      <w:pPr>
        <w:ind w:left="720" w:hanging="360"/>
        <w:numPr>
          <w:ilvl w:val="0"/>
          <w:numId w:val="2"/>
        </w:numPr>
        <w:spacing w:before="60" w:after="60"/>
      </w:pPr>
      <w:r>
        <w:rPr>
          <w:b/>
        </w:rPr>
        <w:t xml:space="preserve">英泰利公司承担付款责任</w:t>
      </w:r>
      <w:r>
        <w:t xml:space="preserve">：依据《居间协议》，英泰利公司负责货款回收，约定"若买方未付款，由英泰利公司承担支付"。依据《民法典》第927条（委托合同）的规定，应由英泰利公司向原告支付货款。</w:t>
      </w:r>
    </w:p>
    <w:p>
      <w:pPr/>
    </w:p>
    <w:p>
      <w:pPr>
        <w:pStyle w:val="Heading3"/>
      </w:pPr>
      <w:r>
        <w:t xml:space="preserve">五、判决结果</w:t>
      </w:r>
    </w:p>
    <w:p>
      <w:pPr/>
    </w:p>
    <w:tbl>
      <w:tblPr>
        <w:tblStyle w:val="TableGrid"/>
        <w:tblW w:w="5000" w:type="pct"/>
      </w:tblPr>
      <w:tr>
        <w:tc>
          <w:tcPr>
            <w:tcW w:w="1800" w:type="dxa"/>
            <w:shd w:val="clear" w:color="auto" w:fill="E7E6E6"/>
          </w:tcPr>
          <w:p>
            <w:pPr>
              <w:jc w:val="left"/>
            </w:pPr>
            <w:r>
              <w:t xml:space="preserve">判项</w:t>
            </w:r>
          </w:p>
        </w:tc>
        <w:tc>
          <w:tcPr>
            <w:tcW w:w="1800" w:type="dxa"/>
            <w:shd w:val="clear" w:color="auto" w:fill="E7E6E6"/>
          </w:tcPr>
          <w:p>
            <w:pPr>
              <w:jc w:val="left"/>
            </w:pPr>
            <w:r>
              <w:t xml:space="preserve">内容</w:t>
            </w:r>
          </w:p>
        </w:tc>
      </w:tr>
      <w:tr>
        <w:tc>
          <w:tcPr>
            <w:tcW w:w="1800" w:type="dxa"/>
          </w:tcPr>
          <w:p>
            <w:pPr>
              <w:jc w:val="left"/>
            </w:pPr>
            <w:r>
              <w:rPr>
                <w:b/>
              </w:rPr>
              <w:t xml:space="preserve">第一项</w:t>
            </w:r>
          </w:p>
        </w:tc>
        <w:tc>
          <w:tcPr>
            <w:tcW w:w="1800" w:type="dxa"/>
          </w:tcPr>
          <w:p>
            <w:pPr>
              <w:jc w:val="left"/>
            </w:pPr>
            <w:r>
              <w:t xml:space="preserve">被告</w:t>
            </w:r>
            <w:r>
              <w:rPr>
                <w:i/>
              </w:rPr>
              <w:t xml:space="preserve">|||ITALIC|||宁夏英泰利机电设备有限公司</w:t>
            </w:r>
            <w:r>
              <w:rPr>
                <w:b/>
                <w:i/>
              </w:rPr>
              <w:t xml:space="preserve">支付货款</w:t>
            </w:r>
            <w:r>
              <w:rPr>
                <w:i/>
              </w:rPr>
              <w:t xml:space="preserve">72.65万元</w:t>
            </w:r>
            <w:r>
              <w:t xml:space="preserve">|||/ITALIC|||，并按每日</w:t>
            </w:r>
            <w:r>
              <w:rPr>
                <w:b/>
              </w:rPr>
              <w:t xml:space="preserve">5‰</w:t>
            </w:r>
            <w:r>
              <w:t xml:space="preserve">支付自2022年11月10日起的违约金</w:t>
            </w:r>
          </w:p>
        </w:tc>
      </w:tr>
      <w:tr>
        <w:tc>
          <w:tcPr>
            <w:tcW w:w="1800" w:type="dxa"/>
          </w:tcPr>
          <w:p>
            <w:pPr>
              <w:jc w:val="left"/>
            </w:pPr>
            <w:r>
              <w:rPr>
                <w:b/>
              </w:rPr>
              <w:t xml:space="preserve">第二项</w:t>
            </w:r>
          </w:p>
        </w:tc>
        <w:tc>
          <w:tcPr>
            <w:tcW w:w="1800" w:type="dxa"/>
          </w:tcPr>
          <w:p>
            <w:pPr>
              <w:jc w:val="left"/>
            </w:pPr>
            <w:r>
              <w:t xml:space="preserve">驳回原告对燕宝基金会的诉讼请求及诉讼代理费的请求</w:t>
            </w:r>
          </w:p>
        </w:tc>
      </w:tr>
      <w:tr>
        <w:tc>
          <w:tcPr>
            <w:tcW w:w="1800" w:type="dxa"/>
          </w:tcPr>
          <w:p>
            <w:pPr>
              <w:jc w:val="left"/>
            </w:pPr>
            <w:r>
              <w:rPr>
                <w:b/>
              </w:rPr>
              <w:t xml:space="preserve">诉讼费</w:t>
            </w:r>
          </w:p>
        </w:tc>
        <w:tc>
          <w:tcPr>
            <w:tcW w:w="1800" w:type="dxa"/>
          </w:tcPr>
          <w:p>
            <w:pPr>
              <w:jc w:val="left"/>
            </w:pPr>
            <w:r>
              <w:t xml:space="preserve">11,936元，由英泰利公司负担</w:t>
            </w:r>
          </w:p>
        </w:tc>
      </w:tr>
    </w:tbl>
    <w:p>
      <w:pPr/>
    </w:p>
    <w:p>
      <w:pPr>
        <w:pStyle w:val="Heading3"/>
      </w:pPr>
      <w:r>
        <w:t xml:space="preserve">六、对慈善组织的启示</w:t>
      </w:r>
    </w:p>
    <w:p>
      <w:pPr/>
    </w:p>
    <w:p>
      <w:pPr>
        <w:ind w:left="720" w:hanging="360"/>
        <w:numPr>
          <w:ilvl w:val="0"/>
          <w:numId w:val="2"/>
        </w:numPr>
        <w:spacing w:before="60" w:after="60"/>
      </w:pPr>
      <w:r>
        <w:rPr>
          <w:b/>
        </w:rPr>
        <w:t xml:space="preserve">签约规范至关重要</w:t>
      </w:r>
      <w:r>
        <w:t xml:space="preserve">：基金会在签订合同时应严格遵循生效条件，避免形式瑕疵引发争议</w:t>
      </w:r>
    </w:p>
    <w:p>
      <w:pPr>
        <w:ind w:left="720" w:hanging="360"/>
        <w:numPr>
          <w:ilvl w:val="0"/>
          <w:numId w:val="2"/>
        </w:numPr>
        <w:spacing w:before="60" w:after="60"/>
      </w:pPr>
      <w:r>
        <w:rPr>
          <w:b/>
        </w:rPr>
        <w:t xml:space="preserve">注意交易结构风险</w:t>
      </w:r>
      <w:r>
        <w:t xml:space="preserve">：多层交易结构下应注意合同相对性原则</w:t>
      </w:r>
    </w:p>
    <w:p>
      <w:pPr>
        <w:ind w:left="720" w:hanging="360"/>
        <w:numPr>
          <w:ilvl w:val="0"/>
          <w:numId w:val="2"/>
        </w:numPr>
        <w:spacing w:before="60" w:after="60"/>
      </w:pPr>
      <w:r>
        <w:rPr>
          <w:b/>
        </w:rPr>
        <w:t xml:space="preserve">合同管理需完善</w:t>
      </w:r>
      <w:r>
        <w:t xml:space="preserve">：本案中基金会同时与两个主体就同一批货物签订合同，暴露了合同管理漏洞</w:t>
      </w:r>
    </w:p>
    <w:p>
      <w:pPr/>
    </w:p>
    <w:p>
      <w:pPr>
        <w:pBdr>
          <w:bottom w:val="single" w:sz="8" w:space="1" w:color="000000"/>
        </w:pBdr>
        <w:spacing w:before="120" w:after="120"/>
      </w:pPr>
      <w:r>
        <w:t/>
      </w:r>
    </w:p>
    <w:p>
      <w:pPr/>
    </w:p>
    <w:p>
      <w:pPr/>
      <w:r>
        <w:t xml:space="preserve">&lt;a name="案例二"&gt;&lt;/a&gt;</w:t>
      </w:r>
    </w:p>
    <w:p>
      <w:pPr>
        <w:pStyle w:val="Heading2"/>
      </w:pPr>
      <w:r>
        <w:t xml:space="preserve">案例二：吴幽与中国矿业大学教育发展基金会赠与合同纠纷案（2022年）</w:t>
      </w:r>
    </w:p>
    <w:p>
      <w:pPr/>
    </w:p>
    <w:p>
      <w:pPr>
        <w:pStyle w:val="Heading3"/>
      </w:pPr>
      <w:r>
        <w:t xml:space="preserve">一、基本信息</w:t>
      </w:r>
    </w:p>
    <w:p>
      <w:pPr/>
    </w:p>
    <w:tbl>
      <w:tblPr>
        <w:tblStyle w:val="TableGrid"/>
        <w:tblW w:w="5000" w:type="pct"/>
      </w:tblPr>
      <w:tr>
        <w:tc>
          <w:tcPr>
            <w:tcW w:w="1800" w:type="dxa"/>
            <w:shd w:val="clear" w:color="auto" w:fill="E7E6E6"/>
          </w:tcPr>
          <w:p>
            <w:pPr>
              <w:jc w:val="left"/>
            </w:pPr>
            <w:r>
              <w:t xml:space="preserve">项目</w:t>
            </w:r>
          </w:p>
        </w:tc>
        <w:tc>
          <w:tcPr>
            <w:tcW w:w="1800" w:type="dxa"/>
            <w:shd w:val="clear" w:color="auto" w:fill="E7E6E6"/>
          </w:tcPr>
          <w:p>
            <w:pPr>
              <w:jc w:val="left"/>
            </w:pPr>
            <w:r>
              <w:t xml:space="preserve">内容</w:t>
            </w:r>
          </w:p>
        </w:tc>
      </w:tr>
      <w:tr>
        <w:tc>
          <w:tcPr>
            <w:tcW w:w="1800" w:type="dxa"/>
          </w:tcPr>
          <w:p>
            <w:pPr>
              <w:jc w:val="left"/>
            </w:pPr>
            <w:r>
              <w:rPr>
                <w:b/>
              </w:rPr>
              <w:t xml:space="preserve">审理法院</w:t>
            </w:r>
          </w:p>
        </w:tc>
        <w:tc>
          <w:tcPr>
            <w:tcW w:w="1800" w:type="dxa"/>
          </w:tcPr>
          <w:p>
            <w:pPr>
              <w:jc w:val="left"/>
            </w:pPr>
            <w:r>
              <w:t xml:space="preserve">江苏省徐州市铜山区人民法院</w:t>
            </w:r>
          </w:p>
        </w:tc>
      </w:tr>
      <w:tr>
        <w:tc>
          <w:tcPr>
            <w:tcW w:w="1800" w:type="dxa"/>
          </w:tcPr>
          <w:p>
            <w:pPr>
              <w:jc w:val="left"/>
            </w:pPr>
            <w:r>
              <w:rPr>
                <w:b/>
              </w:rPr>
              <w:t xml:space="preserve">立案时间</w:t>
            </w:r>
          </w:p>
        </w:tc>
        <w:tc>
          <w:tcPr>
            <w:tcW w:w="1800" w:type="dxa"/>
          </w:tcPr>
          <w:p>
            <w:pPr>
              <w:jc w:val="left"/>
            </w:pPr>
            <w:r>
              <w:t xml:space="preserve">2022年</w:t>
            </w:r>
          </w:p>
        </w:tc>
      </w:tr>
      <w:tr>
        <w:tc>
          <w:tcPr>
            <w:tcW w:w="1800" w:type="dxa"/>
          </w:tcPr>
          <w:p>
            <w:pPr>
              <w:jc w:val="left"/>
            </w:pPr>
            <w:r>
              <w:rPr>
                <w:b/>
              </w:rPr>
              <w:t xml:space="preserve">执行立案</w:t>
            </w:r>
          </w:p>
        </w:tc>
        <w:tc>
          <w:tcPr>
            <w:tcW w:w="1800" w:type="dxa"/>
          </w:tcPr>
          <w:p>
            <w:pPr>
              <w:jc w:val="left"/>
            </w:pPr>
            <w:r>
              <w:t xml:space="preserve">2023年1月3日</w:t>
            </w:r>
          </w:p>
        </w:tc>
      </w:tr>
      <w:tr>
        <w:tc>
          <w:tcPr>
            <w:tcW w:w="1800" w:type="dxa"/>
          </w:tcPr>
          <w:p>
            <w:pPr>
              <w:jc w:val="left"/>
            </w:pPr>
            <w:r>
              <w:rPr>
                <w:b/>
              </w:rPr>
              <w:t xml:space="preserve">原告</w:t>
            </w:r>
          </w:p>
        </w:tc>
        <w:tc>
          <w:tcPr>
            <w:tcW w:w="1800" w:type="dxa"/>
          </w:tcPr>
          <w:p>
            <w:pPr>
              <w:jc w:val="left"/>
            </w:pPr>
            <w:r>
              <w:t xml:space="preserve">中国矿业大学教育发展基金会</w:t>
            </w:r>
          </w:p>
        </w:tc>
      </w:tr>
      <w:tr>
        <w:tc>
          <w:tcPr>
            <w:tcW w:w="1800" w:type="dxa"/>
          </w:tcPr>
          <w:p>
            <w:pPr>
              <w:jc w:val="left"/>
            </w:pPr>
            <w:r>
              <w:rPr>
                <w:b/>
              </w:rPr>
              <w:t xml:space="preserve">被告</w:t>
            </w:r>
          </w:p>
        </w:tc>
        <w:tc>
          <w:tcPr>
            <w:tcW w:w="1800" w:type="dxa"/>
          </w:tcPr>
          <w:p>
            <w:pPr>
              <w:jc w:val="left"/>
            </w:pPr>
            <w:r>
              <w:t xml:space="preserve">吴幽（中国矿业大学2008级校友、镜湖资本创始合伙人）</w:t>
            </w:r>
          </w:p>
        </w:tc>
      </w:tr>
      <w:tr>
        <w:tc>
          <w:tcPr>
            <w:tcW w:w="1800" w:type="dxa"/>
          </w:tcPr>
          <w:p>
            <w:pPr>
              <w:jc w:val="left"/>
            </w:pPr>
            <w:r>
              <w:rPr>
                <w:b/>
              </w:rPr>
              <w:t xml:space="preserve">案由</w:t>
            </w:r>
          </w:p>
        </w:tc>
        <w:tc>
          <w:tcPr>
            <w:tcW w:w="1800" w:type="dxa"/>
          </w:tcPr>
          <w:p>
            <w:pPr>
              <w:jc w:val="left"/>
            </w:pPr>
            <w:r>
              <w:t xml:space="preserve">赠与合同纠纷</w:t>
            </w:r>
          </w:p>
        </w:tc>
      </w:tr>
      <w:tr>
        <w:tc>
          <w:tcPr>
            <w:tcW w:w="1800" w:type="dxa"/>
          </w:tcPr>
          <w:p>
            <w:pPr>
              <w:jc w:val="left"/>
            </w:pPr>
            <w:r>
              <w:rPr>
                <w:b/>
              </w:rPr>
              <w:t xml:space="preserve">执行标的</w:t>
            </w:r>
          </w:p>
        </w:tc>
        <w:tc>
          <w:tcPr>
            <w:tcW w:w="1800" w:type="dxa"/>
          </w:tcPr>
          <w:p>
            <w:pPr>
              <w:jc w:val="left"/>
            </w:pPr>
            <w:r>
              <w:t xml:space="preserve">1104.89万元</w:t>
            </w:r>
          </w:p>
        </w:tc>
      </w:tr>
    </w:tbl>
    <w:p>
      <w:pPr/>
    </w:p>
    <w:p>
      <w:pPr>
        <w:pStyle w:val="Heading3"/>
      </w:pPr>
      <w:r>
        <w:t xml:space="preserve">二、案件背景</w:t>
      </w:r>
    </w:p>
    <w:p>
      <w:pPr/>
    </w:p>
    <w:p>
      <w:pPr>
        <w:ind w:left="720" w:hanging="360"/>
        <w:numPr>
          <w:ilvl w:val="0"/>
          <w:numId w:val="1"/>
        </w:numPr>
        <w:spacing w:before="60" w:after="60"/>
      </w:pPr>
      <w:r>
        <w:rPr>
          <w:i/>
        </w:rPr>
        <w:t xml:space="preserve">|||ITALIC|||2019年</w:t>
      </w:r>
      <w:r>
        <w:rPr>
          <w:b/>
          <w:i/>
        </w:rPr>
        <w:t xml:space="preserve">：正值中国矿业大学建校110周年，吴幽公开承诺向母校捐赠</w:t>
      </w:r>
      <w:r>
        <w:rPr>
          <w:i/>
        </w:rPr>
        <w:t xml:space="preserve">1100万元</w:t>
      </w:r>
      <w:r>
        <w:t xml:space="preserve">|||/ITALIC|||，用于设立高端人才计划基金、贫困生海外实习基金、名人名师讲座基金和创新创业基金</w:t>
      </w:r>
    </w:p>
    <w:p>
      <w:pPr>
        <w:ind w:left="720" w:hanging="360"/>
        <w:numPr>
          <w:ilvl w:val="0"/>
          <w:numId w:val="1"/>
        </w:numPr>
        <w:spacing w:before="60" w:after="60"/>
      </w:pPr>
      <w:r>
        <w:t xml:space="preserve">学校副校长代表学校与吴幽签署了捐赠协议，学校接受捐赠并颁发证书</w:t>
      </w:r>
    </w:p>
    <w:p>
      <w:pPr>
        <w:ind w:left="720" w:hanging="360"/>
        <w:numPr>
          <w:ilvl w:val="0"/>
          <w:numId w:val="1"/>
        </w:numPr>
        <w:spacing w:before="60" w:after="60"/>
      </w:pPr>
      <w:r>
        <w:rPr>
          <w:b/>
        </w:rPr>
        <w:t xml:space="preserve">后因"经济大环境及基金遇到困难"</w:t>
      </w:r>
      <w:r>
        <w:t xml:space="preserve">，吴幽未履行捐赠承诺</w:t>
      </w:r>
    </w:p>
    <w:p>
      <w:pPr/>
    </w:p>
    <w:p>
      <w:pPr>
        <w:pStyle w:val="Heading3"/>
      </w:pPr>
      <w:r>
        <w:t xml:space="preserve">三、争议焦点</w:t>
      </w:r>
    </w:p>
    <w:p>
      <w:pPr/>
    </w:p>
    <w:p>
      <w:pPr/>
      <w:r>
        <w:rPr>
          <w:b/>
        </w:rPr>
        <w:t xml:space="preserve">核心争议</w:t>
      </w:r>
      <w:r>
        <w:t xml:space="preserve">：公开承诺的公益捐赠是否可以因经济困难而拒绝履行？</w:t>
      </w:r>
    </w:p>
    <w:p>
      <w:pPr/>
    </w:p>
    <w:p>
      <w:pPr/>
      <w:r>
        <w:rPr>
          <w:b/>
        </w:rPr>
        <w:t xml:space="preserve">法律依据</w:t>
      </w:r>
      <w:r>
        <w:t xml:space="preserve">：</w:t>
      </w:r>
    </w:p>
    <w:p>
      <w:pPr>
        <w:ind w:left="720" w:hanging="360"/>
        <w:numPr>
          <w:ilvl w:val="0"/>
          <w:numId w:val="1"/>
        </w:numPr>
        <w:spacing w:before="60" w:after="60"/>
      </w:pPr>
      <w:r>
        <w:t xml:space="preserve">《慈善法》第41条：捐赠人通过广播、电视、报刊、互联网等媒体公开承诺捐赠的，应当按照捐赠协议履行捐赠义务</w:t>
      </w:r>
    </w:p>
    <w:p>
      <w:pPr>
        <w:ind w:left="720" w:hanging="360"/>
        <w:numPr>
          <w:ilvl w:val="0"/>
          <w:numId w:val="1"/>
        </w:numPr>
        <w:spacing w:before="60" w:after="60"/>
      </w:pPr>
      <w:r>
        <w:t xml:space="preserve">《民法典》第658条：经过公证的赠与合同或者依法不得撤销的具有救灾、扶贫、助残等公益、道德义务性质的赠与合同，赠与人不得任意撤销</w:t>
      </w:r>
    </w:p>
    <w:p>
      <w:pPr>
        <w:ind w:left="720" w:hanging="360"/>
        <w:numPr>
          <w:ilvl w:val="0"/>
          <w:numId w:val="1"/>
        </w:numPr>
        <w:spacing w:before="60" w:after="60"/>
      </w:pPr>
      <w:r>
        <w:t xml:space="preserve">《民法典》第666条：赠与人经济状况显著恶化，严重影响其生产经营或者家庭生活的，可以不再履行赠与义务（穷困抗辩）</w:t>
      </w:r>
    </w:p>
    <w:p>
      <w:pPr/>
    </w:p>
    <w:p>
      <w:pPr>
        <w:pStyle w:val="Heading3"/>
      </w:pPr>
      <w:r>
        <w:t xml:space="preserve">四、案件处理结果</w:t>
      </w:r>
    </w:p>
    <w:p>
      <w:pPr/>
    </w:p>
    <w:p>
      <w:pPr/>
      <w:r>
        <w:t xml:space="preserve">该案以</w:t>
      </w:r>
      <w:r>
        <w:rPr>
          <w:b/>
        </w:rPr>
        <w:t xml:space="preserve">调解</w:t>
      </w:r>
      <w:r>
        <w:t xml:space="preserve">方式结案，调解协议约定：</w:t>
      </w:r>
    </w:p>
    <w:p>
      <w:pPr>
        <w:ind w:left="720" w:hanging="360"/>
        <w:numPr>
          <w:ilvl w:val="0"/>
          <w:numId w:val="2"/>
        </w:numPr>
        <w:spacing w:before="60" w:after="60"/>
      </w:pPr>
      <w:r>
        <w:t xml:space="preserve">吴幽分期付款：2022年10月20日前付200万元；余款900万元于2022年12月31日前付清</w:t>
      </w:r>
    </w:p>
    <w:p>
      <w:pPr>
        <w:ind w:left="720" w:hanging="360"/>
        <w:numPr>
          <w:ilvl w:val="0"/>
          <w:numId w:val="2"/>
        </w:numPr>
        <w:spacing w:before="60" w:after="60"/>
      </w:pPr>
      <w:r>
        <w:t xml:space="preserve">若任一期未按时足额履行，基金会可就全部未付款申请执行</w:t>
      </w:r>
    </w:p>
    <w:p>
      <w:pPr>
        <w:ind w:left="720" w:hanging="360"/>
        <w:numPr>
          <w:ilvl w:val="0"/>
          <w:numId w:val="2"/>
        </w:numPr>
        <w:spacing w:before="60" w:after="60"/>
      </w:pPr>
      <w:r>
        <w:t xml:space="preserve">案件受理费减半收取43,900元，保全费5,000元，均由吴幽负担</w:t>
      </w:r>
    </w:p>
    <w:p>
      <w:pPr/>
    </w:p>
    <w:p>
      <w:pPr/>
      <w:r>
        <w:rPr>
          <w:b/>
        </w:rPr>
        <w:t xml:space="preserve">执行阶段（2023年）</w:t>
      </w:r>
      <w:r>
        <w:t xml:space="preserve">：</w:t>
      </w:r>
    </w:p>
    <w:p>
      <w:pPr>
        <w:ind w:left="720" w:hanging="360"/>
        <w:numPr>
          <w:ilvl w:val="0"/>
          <w:numId w:val="1"/>
        </w:numPr>
        <w:spacing w:before="60" w:after="60"/>
      </w:pPr>
      <w:r>
        <w:t xml:space="preserve">吴幽未按调解协议履行</w:t>
      </w:r>
    </w:p>
    <w:p>
      <w:pPr>
        <w:ind w:left="720" w:hanging="360"/>
        <w:numPr>
          <w:ilvl w:val="0"/>
          <w:numId w:val="1"/>
        </w:numPr>
        <w:spacing w:before="60" w:after="60"/>
      </w:pPr>
      <w:r>
        <w:t xml:space="preserve">被列为</w:t>
      </w:r>
      <w:r>
        <w:rPr>
          <w:b/>
        </w:rPr>
        <w:t xml:space="preserve">失信被执行人</w:t>
      </w:r>
      <w:r>
        <w:t xml:space="preserve">（俗称"老赖"）</w:t>
      </w:r>
    </w:p>
    <w:p>
      <w:pPr>
        <w:ind w:left="720" w:hanging="360"/>
        <w:numPr>
          <w:ilvl w:val="0"/>
          <w:numId w:val="1"/>
        </w:numPr>
        <w:spacing w:before="60" w:after="60"/>
      </w:pPr>
      <w:r>
        <w:t xml:space="preserve">受到限制消费令</w:t>
      </w:r>
    </w:p>
    <w:p>
      <w:pPr/>
    </w:p>
    <w:p>
      <w:pPr>
        <w:pStyle w:val="Heading3"/>
      </w:pPr>
      <w:r>
        <w:t xml:space="preserve">五、案例启示</w:t>
      </w:r>
    </w:p>
    <w:p>
      <w:pPr/>
    </w:p>
    <w:p>
      <w:pPr>
        <w:ind w:left="720" w:hanging="360"/>
        <w:numPr>
          <w:ilvl w:val="0"/>
          <w:numId w:val="2"/>
        </w:numPr>
        <w:spacing w:before="60" w:after="60"/>
      </w:pPr>
      <w:r>
        <w:rPr>
          <w:b/>
        </w:rPr>
        <w:t xml:space="preserve">公益捐赠不可随意反悔</w:t>
      </w:r>
      <w:r>
        <w:t xml:space="preserve">：公开承诺的公益捐赠具有法律强制力</w:t>
      </w:r>
    </w:p>
    <w:p>
      <w:pPr>
        <w:ind w:left="720" w:hanging="360"/>
        <w:numPr>
          <w:ilvl w:val="0"/>
          <w:numId w:val="2"/>
        </w:numPr>
        <w:spacing w:before="60" w:after="60"/>
      </w:pPr>
      <w:r>
        <w:rPr>
          <w:b/>
        </w:rPr>
        <w:t xml:space="preserve">穷困抗辩需严格证明</w:t>
      </w:r>
      <w:r>
        <w:t xml:space="preserve">：主张经济困难需证明"经济状况显著恶化，严重影响生产经营或家庭生活"</w:t>
      </w:r>
    </w:p>
    <w:p>
      <w:pPr>
        <w:ind w:left="720" w:hanging="360"/>
        <w:numPr>
          <w:ilvl w:val="0"/>
          <w:numId w:val="2"/>
        </w:numPr>
        <w:spacing w:before="60" w:after="60"/>
      </w:pPr>
      <w:r>
        <w:t xml:space="preserve">此案为</w:t>
      </w:r>
      <w:r>
        <w:rPr>
          <w:b/>
        </w:rPr>
        <w:t xml:space="preserve">教育基金会维权典型案例</w:t>
      </w:r>
      <w:r>
        <w:t xml:space="preserve">，引发社会广泛关注</w:t>
      </w:r>
    </w:p>
    <w:p>
      <w:pPr/>
    </w:p>
    <w:p>
      <w:pPr>
        <w:pBdr>
          <w:bottom w:val="single" w:sz="8" w:space="1" w:color="000000"/>
        </w:pBdr>
        <w:spacing w:before="120" w:after="120"/>
      </w:pPr>
      <w:r>
        <w:t/>
      </w:r>
    </w:p>
    <w:p>
      <w:pPr/>
    </w:p>
    <w:p>
      <w:pPr/>
      <w:r>
        <w:t xml:space="preserve">&lt;a name="案例三"&gt;&lt;/a&gt;</w:t>
      </w:r>
    </w:p>
    <w:p>
      <w:pPr>
        <w:pStyle w:val="Heading2"/>
      </w:pPr>
      <w:r>
        <w:t xml:space="preserve">案例三：(2002)云高民三终字第26号 — 美国妈妈联谊会诉丽江妈妈联谊会捐赠纠纷案</w:t>
      </w:r>
    </w:p>
    <w:p>
      <w:pPr/>
    </w:p>
    <w:p>
      <w:pPr>
        <w:pStyle w:val="Heading3"/>
      </w:pPr>
      <w:r>
        <w:t xml:space="preserve">一、基本信息</w:t>
      </w:r>
    </w:p>
    <w:p>
      <w:pPr/>
    </w:p>
    <w:tbl>
      <w:tblPr>
        <w:tblStyle w:val="TableGrid"/>
        <w:tblW w:w="5000" w:type="pct"/>
      </w:tblPr>
      <w:tr>
        <w:tc>
          <w:tcPr>
            <w:tcW w:w="1800" w:type="dxa"/>
            <w:shd w:val="clear" w:color="auto" w:fill="E7E6E6"/>
          </w:tcPr>
          <w:p>
            <w:pPr>
              <w:jc w:val="left"/>
            </w:pPr>
            <w:r>
              <w:t xml:space="preserve">项目</w:t>
            </w:r>
          </w:p>
        </w:tc>
        <w:tc>
          <w:tcPr>
            <w:tcW w:w="1800" w:type="dxa"/>
            <w:shd w:val="clear" w:color="auto" w:fill="E7E6E6"/>
          </w:tcPr>
          <w:p>
            <w:pPr>
              <w:jc w:val="left"/>
            </w:pPr>
            <w:r>
              <w:t xml:space="preserve">内容</w:t>
            </w:r>
          </w:p>
        </w:tc>
      </w:tr>
      <w:tr>
        <w:tc>
          <w:tcPr>
            <w:tcW w:w="1800" w:type="dxa"/>
          </w:tcPr>
          <w:p>
            <w:pPr>
              <w:jc w:val="left"/>
            </w:pPr>
            <w:r>
              <w:rPr>
                <w:b/>
              </w:rPr>
              <w:t xml:space="preserve">案号</w:t>
            </w:r>
          </w:p>
        </w:tc>
        <w:tc>
          <w:tcPr>
            <w:tcW w:w="1800" w:type="dxa"/>
          </w:tcPr>
          <w:p>
            <w:pPr>
              <w:jc w:val="left"/>
            </w:pPr>
            <w:r>
              <w:t xml:space="preserve">（2002）云高民三终字第26号</w:t>
            </w:r>
          </w:p>
        </w:tc>
      </w:tr>
      <w:tr>
        <w:tc>
          <w:tcPr>
            <w:tcW w:w="1800" w:type="dxa"/>
          </w:tcPr>
          <w:p>
            <w:pPr>
              <w:jc w:val="left"/>
            </w:pPr>
            <w:r>
              <w:rPr>
                <w:b/>
              </w:rPr>
              <w:t xml:space="preserve">审理法院</w:t>
            </w:r>
          </w:p>
        </w:tc>
        <w:tc>
          <w:tcPr>
            <w:tcW w:w="1800" w:type="dxa"/>
          </w:tcPr>
          <w:p>
            <w:pPr>
              <w:jc w:val="left"/>
            </w:pPr>
            <w:r>
              <w:t xml:space="preserve">云南省高级人民法院</w:t>
            </w:r>
          </w:p>
        </w:tc>
      </w:tr>
      <w:tr>
        <w:tc>
          <w:tcPr>
            <w:tcW w:w="1800" w:type="dxa"/>
          </w:tcPr>
          <w:p>
            <w:pPr>
              <w:jc w:val="left"/>
            </w:pPr>
            <w:r>
              <w:rPr>
                <w:b/>
              </w:rPr>
              <w:t xml:space="preserve">上诉人/捐赠人</w:t>
            </w:r>
          </w:p>
        </w:tc>
        <w:tc>
          <w:tcPr>
            <w:tcW w:w="1800" w:type="dxa"/>
          </w:tcPr>
          <w:p>
            <w:pPr>
              <w:jc w:val="left"/>
            </w:pPr>
            <w:r>
              <w:t xml:space="preserve">美国妈妈联谊会</w:t>
            </w:r>
          </w:p>
        </w:tc>
      </w:tr>
      <w:tr>
        <w:tc>
          <w:tcPr>
            <w:tcW w:w="1800" w:type="dxa"/>
          </w:tcPr>
          <w:p>
            <w:pPr>
              <w:jc w:val="left"/>
            </w:pPr>
            <w:r>
              <w:rPr>
                <w:b/>
              </w:rPr>
              <w:t xml:space="preserve">被上诉人/受赠人</w:t>
            </w:r>
          </w:p>
        </w:tc>
        <w:tc>
          <w:tcPr>
            <w:tcW w:w="1800" w:type="dxa"/>
          </w:tcPr>
          <w:p>
            <w:pPr>
              <w:jc w:val="left"/>
            </w:pPr>
            <w:r>
              <w:t xml:space="preserve">丽江妈妈联谊会</w:t>
            </w:r>
          </w:p>
        </w:tc>
      </w:tr>
      <w:tr>
        <w:tc>
          <w:tcPr>
            <w:tcW w:w="1800" w:type="dxa"/>
          </w:tcPr>
          <w:p>
            <w:pPr>
              <w:jc w:val="left"/>
            </w:pPr>
            <w:r>
              <w:rPr>
                <w:b/>
              </w:rPr>
              <w:t xml:space="preserve">案由</w:t>
            </w:r>
          </w:p>
        </w:tc>
        <w:tc>
          <w:tcPr>
            <w:tcW w:w="1800" w:type="dxa"/>
          </w:tcPr>
          <w:p>
            <w:pPr>
              <w:jc w:val="left"/>
            </w:pPr>
            <w:r>
              <w:t xml:space="preserve">捐赠纠纷</w:t>
            </w:r>
          </w:p>
        </w:tc>
      </w:tr>
    </w:tbl>
    <w:p>
      <w:pPr/>
    </w:p>
    <w:p>
      <w:pPr>
        <w:pStyle w:val="Heading3"/>
      </w:pPr>
      <w:r>
        <w:t xml:space="preserve">二、案件事实</w:t>
      </w:r>
    </w:p>
    <w:p>
      <w:pPr/>
    </w:p>
    <w:p>
      <w:pPr>
        <w:ind w:left="720" w:hanging="360"/>
        <w:numPr>
          <w:ilvl w:val="0"/>
          <w:numId w:val="1"/>
        </w:numPr>
        <w:spacing w:before="60" w:after="60"/>
      </w:pPr>
      <w:r>
        <w:t xml:space="preserve">丽江妈妈联谊会取得美国妈妈联谊会的捐赠款项后，</w:t>
      </w:r>
      <w:r>
        <w:rPr>
          <w:b/>
        </w:rPr>
        <w:t xml:space="preserve">未按照捐赠人指定的用途使用捐赠财产</w:t>
      </w:r>
      <w:r>
        <w:t xml:space="preserve">，违背了捐赠人的意愿</w:t>
      </w:r>
    </w:p>
    <w:p>
      <w:pPr>
        <w:ind w:left="720" w:hanging="360"/>
        <w:numPr>
          <w:ilvl w:val="0"/>
          <w:numId w:val="1"/>
        </w:numPr>
        <w:spacing w:before="60" w:after="60"/>
      </w:pPr>
      <w:r>
        <w:t xml:space="preserve">美国妈妈联谊会请求撤销捐赠并要求返还</w:t>
      </w:r>
    </w:p>
    <w:p>
      <w:pPr/>
    </w:p>
    <w:p>
      <w:pPr>
        <w:pStyle w:val="Heading3"/>
      </w:pPr>
      <w:r>
        <w:t xml:space="preserve">三、争议焦点</w:t>
      </w:r>
    </w:p>
    <w:p>
      <w:pPr/>
    </w:p>
    <w:p>
      <w:pPr/>
      <w:r>
        <w:rPr>
          <w:b/>
        </w:rPr>
        <w:t xml:space="preserve">核心争议</w:t>
      </w:r>
      <w:r>
        <w:t xml:space="preserve">：公益捐赠的捐赠人在受赠人未按照约定使用捐赠财产的情况下，是否享有法定撤销权？</w:t>
      </w:r>
    </w:p>
    <w:p>
      <w:pPr/>
    </w:p>
    <w:p>
      <w:pPr>
        <w:pStyle w:val="Heading3"/>
      </w:pPr>
      <w:r>
        <w:t xml:space="preserve">四、裁判要旨</w:t>
      </w:r>
    </w:p>
    <w:p>
      <w:pPr/>
    </w:p>
    <w:p>
      <w:pPr/>
      <w:r>
        <w:rPr>
          <w:i/>
        </w:rPr>
        <w:t xml:space="preserve">|||ITALIC|||云南省高院认定</w:t>
      </w:r>
      <w:r>
        <w:rPr>
          <w:b/>
          <w:i/>
        </w:rPr>
        <w:t xml:space="preserve">：《民法典》第663条规定的法定撤销权</w:t>
      </w:r>
      <w:r>
        <w:rPr>
          <w:i/>
        </w:rPr>
        <w:t xml:space="preserve">并未将具有公益性质的赠与合同排除在外</w:t>
      </w:r>
      <w:r>
        <w:t xml:space="preserve">|||/ITALIC|||。若受赠人不履行赠与合同约定的义务（包括未按指定用途使用捐赠财产），赠与人有权行使法定撤销权，要求返还相应捐赠财产。</w:t>
      </w:r>
    </w:p>
    <w:p>
      <w:pPr/>
    </w:p>
    <w:p>
      <w:pPr/>
      <w:r>
        <w:rPr>
          <w:b/>
        </w:rPr>
        <w:t xml:space="preserve">法律适用</w:t>
      </w:r>
      <w:r>
        <w:t xml:space="preserve">：</w:t>
      </w:r>
    </w:p>
    <w:p>
      <w:pPr>
        <w:ind w:left="720" w:hanging="360"/>
        <w:numPr>
          <w:ilvl w:val="0"/>
          <w:numId w:val="1"/>
        </w:numPr>
        <w:spacing w:before="60" w:after="60"/>
      </w:pPr>
      <w:r>
        <w:t xml:space="preserve">《民法典》第663条：受赠人有下列情形之一的，赠与人可以撤销赠与：（一）严重侵害赠与人或者赠与人近亲属的合法权益；（二）对赠与人有扶养义务而不履行；（三）不履行赠与合同约定的义务</w:t>
      </w:r>
    </w:p>
    <w:p>
      <w:pPr>
        <w:ind w:left="720" w:hanging="360"/>
        <w:numPr>
          <w:ilvl w:val="0"/>
          <w:numId w:val="1"/>
        </w:numPr>
        <w:spacing w:before="60" w:after="60"/>
      </w:pPr>
      <w:r>
        <w:t xml:space="preserve">撤销权自知道或应当知道撤销事由之日起一年内行使</w:t>
      </w:r>
    </w:p>
    <w:p>
      <w:pPr/>
    </w:p>
    <w:p>
      <w:pPr>
        <w:pStyle w:val="Heading3"/>
      </w:pPr>
      <w:r>
        <w:t xml:space="preserve">五、判决结果</w:t>
      </w:r>
    </w:p>
    <w:p>
      <w:pPr/>
    </w:p>
    <w:p>
      <w:pPr/>
      <w:r>
        <w:t xml:space="preserve">判决丽江妈妈联谊会向美国妈妈联谊会</w:t>
      </w:r>
      <w:r>
        <w:rPr>
          <w:b/>
        </w:rPr>
        <w:t xml:space="preserve">返还未按指定用途使用的两笔捐赠款项</w:t>
      </w:r>
      <w:r>
        <w:t xml:space="preserve">。</w:t>
      </w:r>
    </w:p>
    <w:p>
      <w:pPr/>
    </w:p>
    <w:p>
      <w:pPr>
        <w:pStyle w:val="Heading3"/>
      </w:pPr>
      <w:r>
        <w:t xml:space="preserve">六、经典意义</w:t>
      </w:r>
    </w:p>
    <w:p>
      <w:pPr/>
    </w:p>
    <w:p>
      <w:pPr>
        <w:ind w:left="720" w:hanging="360"/>
        <w:numPr>
          <w:ilvl w:val="0"/>
          <w:numId w:val="2"/>
        </w:numPr>
        <w:spacing w:before="60" w:after="60"/>
      </w:pPr>
      <w:r>
        <w:t xml:space="preserve">这是中国</w:t>
      </w:r>
      <w:r>
        <w:rPr>
          <w:b/>
        </w:rPr>
        <w:t xml:space="preserve">较早涉及慈善捐赠纠纷的典型案例</w:t>
      </w:r>
      <w:r>
        <w:t xml:space="preserve">（2002年）</w:t>
      </w:r>
    </w:p>
    <w:p>
      <w:pPr>
        <w:ind w:left="720" w:hanging="360"/>
        <w:numPr>
          <w:ilvl w:val="0"/>
          <w:numId w:val="2"/>
        </w:numPr>
        <w:spacing w:before="60" w:after="60"/>
      </w:pPr>
      <w:r>
        <w:t xml:space="preserve">明确了</w:t>
      </w:r>
      <w:r>
        <w:rPr>
          <w:b/>
        </w:rPr>
        <w:t xml:space="preserve">公益捐赠合同同样适用法定撤销权</w:t>
      </w:r>
    </w:p>
    <w:p>
      <w:pPr>
        <w:ind w:left="720" w:hanging="360"/>
        <w:numPr>
          <w:ilvl w:val="0"/>
          <w:numId w:val="2"/>
        </w:numPr>
        <w:spacing w:before="60" w:after="60"/>
      </w:pPr>
      <w:r>
        <w:t xml:space="preserve">强调受赠人对捐赠财产负有</w:t>
      </w:r>
      <w:r>
        <w:rPr>
          <w:b/>
        </w:rPr>
        <w:t xml:space="preserve">依约使用义务</w:t>
      </w:r>
    </w:p>
    <w:p>
      <w:pPr/>
    </w:p>
    <w:p>
      <w:pPr>
        <w:pBdr>
          <w:bottom w:val="single" w:sz="8" w:space="1" w:color="000000"/>
        </w:pBdr>
        <w:spacing w:before="120" w:after="120"/>
      </w:pPr>
      <w:r>
        <w:t/>
      </w:r>
    </w:p>
    <w:p>
      <w:pPr/>
    </w:p>
    <w:p>
      <w:pPr/>
      <w:r>
        <w:t xml:space="preserve">&lt;a name="案例四"&gt;&lt;/a&gt;</w:t>
      </w:r>
    </w:p>
    <w:p>
      <w:pPr>
        <w:pStyle w:val="Heading2"/>
      </w:pPr>
      <w:r>
        <w:t xml:space="preserve">案例四：指导案例174号 — (2015)甘民初字第45号 中国绿发会诉雅砻江流域水电开发有限公司环境公益诉讼案</w:t>
      </w:r>
    </w:p>
    <w:p>
      <w:pPr/>
    </w:p>
    <w:p>
      <w:pPr>
        <w:pStyle w:val="Heading3"/>
      </w:pPr>
      <w:r>
        <w:t xml:space="preserve">一、基本信息</w:t>
      </w:r>
    </w:p>
    <w:p>
      <w:pPr/>
    </w:p>
    <w:tbl>
      <w:tblPr>
        <w:tblStyle w:val="TableGrid"/>
        <w:tblW w:w="5000" w:type="pct"/>
      </w:tblPr>
      <w:tr>
        <w:tc>
          <w:tcPr>
            <w:tcW w:w="1800" w:type="dxa"/>
            <w:shd w:val="clear" w:color="auto" w:fill="E7E6E6"/>
          </w:tcPr>
          <w:p>
            <w:pPr>
              <w:jc w:val="left"/>
            </w:pPr>
            <w:r>
              <w:t xml:space="preserve">项目</w:t>
            </w:r>
          </w:p>
        </w:tc>
        <w:tc>
          <w:tcPr>
            <w:tcW w:w="1800" w:type="dxa"/>
            <w:shd w:val="clear" w:color="auto" w:fill="E7E6E6"/>
          </w:tcPr>
          <w:p>
            <w:pPr>
              <w:jc w:val="left"/>
            </w:pPr>
            <w:r>
              <w:t xml:space="preserve">内容</w:t>
            </w:r>
          </w:p>
        </w:tc>
      </w:tr>
      <w:tr>
        <w:tc>
          <w:tcPr>
            <w:tcW w:w="1800" w:type="dxa"/>
          </w:tcPr>
          <w:p>
            <w:pPr>
              <w:jc w:val="left"/>
            </w:pPr>
            <w:r>
              <w:rPr>
                <w:b/>
              </w:rPr>
              <w:t xml:space="preserve">案号</w:t>
            </w:r>
          </w:p>
        </w:tc>
        <w:tc>
          <w:tcPr>
            <w:tcW w:w="1800" w:type="dxa"/>
          </w:tcPr>
          <w:p>
            <w:pPr>
              <w:jc w:val="left"/>
            </w:pPr>
            <w:r>
              <w:t xml:space="preserve">（2015）甘民初字第45号</w:t>
            </w:r>
          </w:p>
        </w:tc>
      </w:tr>
      <w:tr>
        <w:tc>
          <w:tcPr>
            <w:tcW w:w="1800" w:type="dxa"/>
          </w:tcPr>
          <w:p>
            <w:pPr>
              <w:jc w:val="left"/>
            </w:pPr>
            <w:r>
              <w:rPr>
                <w:b/>
              </w:rPr>
              <w:t xml:space="preserve">审理法院</w:t>
            </w:r>
          </w:p>
        </w:tc>
        <w:tc>
          <w:tcPr>
            <w:tcW w:w="1800" w:type="dxa"/>
          </w:tcPr>
          <w:p>
            <w:pPr>
              <w:jc w:val="left"/>
            </w:pPr>
            <w:r>
              <w:t xml:space="preserve">四川省甘孜藏族自治州中级人民法院</w:t>
            </w:r>
          </w:p>
        </w:tc>
      </w:tr>
      <w:tr>
        <w:tc>
          <w:tcPr>
            <w:tcW w:w="1800" w:type="dxa"/>
          </w:tcPr>
          <w:p>
            <w:pPr>
              <w:jc w:val="left"/>
            </w:pPr>
            <w:r>
              <w:rPr>
                <w:b/>
              </w:rPr>
              <w:t xml:space="preserve">原告</w:t>
            </w:r>
          </w:p>
        </w:tc>
        <w:tc>
          <w:tcPr>
            <w:tcW w:w="1800" w:type="dxa"/>
          </w:tcPr>
          <w:p>
            <w:pPr>
              <w:jc w:val="left"/>
            </w:pPr>
            <w:r>
              <w:t xml:space="preserve">中国生物多样性保护与绿色发展基金会（绿发会）</w:t>
            </w:r>
          </w:p>
        </w:tc>
      </w:tr>
      <w:tr>
        <w:tc>
          <w:tcPr>
            <w:tcW w:w="1800" w:type="dxa"/>
          </w:tcPr>
          <w:p>
            <w:pPr>
              <w:jc w:val="left"/>
            </w:pPr>
            <w:r>
              <w:rPr>
                <w:b/>
              </w:rPr>
              <w:t xml:space="preserve">被告</w:t>
            </w:r>
          </w:p>
        </w:tc>
        <w:tc>
          <w:tcPr>
            <w:tcW w:w="1800" w:type="dxa"/>
          </w:tcPr>
          <w:p>
            <w:pPr>
              <w:jc w:val="left"/>
            </w:pPr>
            <w:r>
              <w:t xml:space="preserve">雅砻江流域水电开发有限公司</w:t>
            </w:r>
          </w:p>
        </w:tc>
      </w:tr>
      <w:tr>
        <w:tc>
          <w:tcPr>
            <w:tcW w:w="1800" w:type="dxa"/>
          </w:tcPr>
          <w:p>
            <w:pPr>
              <w:jc w:val="left"/>
            </w:pPr>
            <w:r>
              <w:rPr>
                <w:b/>
              </w:rPr>
              <w:t xml:space="preserve">案由</w:t>
            </w:r>
          </w:p>
        </w:tc>
        <w:tc>
          <w:tcPr>
            <w:tcW w:w="1800" w:type="dxa"/>
          </w:tcPr>
          <w:p>
            <w:pPr>
              <w:jc w:val="left"/>
            </w:pPr>
            <w:r>
              <w:t xml:space="preserve">环境民事公益诉讼</w:t>
            </w:r>
          </w:p>
        </w:tc>
      </w:tr>
      <w:tr>
        <w:tc>
          <w:tcPr>
            <w:tcW w:w="1800" w:type="dxa"/>
          </w:tcPr>
          <w:p>
            <w:pPr>
              <w:jc w:val="left"/>
            </w:pPr>
            <w:r>
              <w:rPr>
                <w:b/>
              </w:rPr>
              <w:t xml:space="preserve">地位</w:t>
            </w:r>
          </w:p>
        </w:tc>
        <w:tc>
          <w:tcPr>
            <w:tcW w:w="1800" w:type="dxa"/>
          </w:tcPr>
          <w:p>
            <w:pPr>
              <w:jc w:val="left"/>
            </w:pPr>
            <w:r>
              <w:t xml:space="preserve">最高人民法院</w:t>
            </w:r>
            <w:r>
              <w:rPr>
                <w:b/>
              </w:rPr>
              <w:t xml:space="preserve">指导案例第174号</w:t>
            </w:r>
          </w:p>
        </w:tc>
      </w:tr>
    </w:tbl>
    <w:p>
      <w:pPr/>
    </w:p>
    <w:p>
      <w:pPr>
        <w:pStyle w:val="Heading3"/>
      </w:pPr>
      <w:r>
        <w:t xml:space="preserve">二、案件事实</w:t>
      </w:r>
    </w:p>
    <w:p>
      <w:pPr/>
    </w:p>
    <w:p>
      <w:pPr>
        <w:ind w:left="720" w:hanging="360"/>
        <w:numPr>
          <w:ilvl w:val="0"/>
          <w:numId w:val="1"/>
        </w:numPr>
        <w:spacing w:before="60" w:after="60"/>
      </w:pPr>
      <w:r>
        <w:t xml:space="preserve">五小叶槭被评定为"极危"/"极度濒危"物种，案涉种群位于四川省雅江县，是当今世界残存</w:t>
      </w:r>
      <w:r>
        <w:rPr>
          <w:b/>
        </w:rPr>
        <w:t xml:space="preserve">最大且唯一还有自然繁衍能力的种群</w:t>
      </w:r>
    </w:p>
    <w:p>
      <w:pPr>
        <w:ind w:left="720" w:hanging="360"/>
        <w:numPr>
          <w:ilvl w:val="0"/>
          <w:numId w:val="1"/>
        </w:numPr>
        <w:spacing w:before="60" w:after="60"/>
      </w:pPr>
      <w:r>
        <w:t xml:space="preserve">雅砻江公司负责建设的牙根梯级水电站项目处于</w:t>
      </w:r>
      <w:r>
        <w:rPr>
          <w:b/>
        </w:rPr>
        <w:t xml:space="preserve">预可研阶段</w:t>
      </w:r>
      <w:r>
        <w:t xml:space="preserve">（尚未开工建设）</w:t>
      </w:r>
    </w:p>
    <w:p>
      <w:pPr>
        <w:ind w:left="720" w:hanging="360"/>
        <w:numPr>
          <w:ilvl w:val="0"/>
          <w:numId w:val="1"/>
        </w:numPr>
        <w:spacing w:before="60" w:after="60"/>
      </w:pPr>
      <w:r>
        <w:t xml:space="preserve">绿发会认为水电站及配套公路建设将直接威胁五小叶槭的生存，提起</w:t>
      </w:r>
      <w:r>
        <w:rPr>
          <w:b/>
        </w:rPr>
        <w:t xml:space="preserve">预防性公益诉讼</w:t>
      </w:r>
    </w:p>
    <w:p>
      <w:pPr/>
    </w:p>
    <w:p>
      <w:pPr>
        <w:pStyle w:val="Heading3"/>
      </w:pPr>
      <w:r>
        <w:t xml:space="preserve">三、裁判规则（最高人民法院提炼）</w:t>
      </w:r>
    </w:p>
    <w:p>
      <w:pPr/>
    </w:p>
    <w:p>
      <w:pPr>
        <w:ind w:left="720"/>
        <w:pBdr>
          <w:left w:val="single" w:sz="12" w:space="1" w:color="CCCCCC"/>
        </w:pBdr>
      </w:pPr>
      <w:r>
        <w:t xml:space="preserve">人民法院审理环境民事公益诉讼案件，应当贯彻</w:t>
      </w:r>
      <w:r>
        <w:rPr>
          <w:i/>
        </w:rPr>
        <w:t xml:space="preserve">|||ITALIC|||绿色发展理念和风险预防原则</w:t>
      </w:r>
      <w:r>
        <w:rPr>
          <w:b/>
          <w:i/>
        </w:rPr>
        <w:t xml:space="preserve">，根据现有证据和科学技术认为项目建成后可能对案涉地濒危野生植物生存环境造成破坏，存在影响其生存的</w:t>
      </w:r>
      <w:r>
        <w:rPr>
          <w:i/>
        </w:rPr>
        <w:t xml:space="preserve">潜在风险</w:t>
      </w:r>
      <w:r>
        <w:t xml:space="preserve">|||/ITALIC|||，从而损害生态环境公共利益的，可以判决被告采取</w:t>
      </w:r>
      <w:r>
        <w:rPr>
          <w:b/>
        </w:rPr>
        <w:t xml:space="preserve">预防性措施</w:t>
      </w:r>
      <w:r>
        <w:t xml:space="preserve">，将对濒危野生植物生存的影响纳入建设项目的环境影响评价。</w:t>
      </w:r>
    </w:p>
    <w:p>
      <w:pPr/>
    </w:p>
    <w:p>
      <w:pPr>
        <w:pStyle w:val="Heading3"/>
      </w:pPr>
      <w:r>
        <w:t xml:space="preserve">四、核心裁判要旨</w:t>
      </w:r>
    </w:p>
    <w:p>
      <w:pPr/>
    </w:p>
    <w:p>
      <w:pPr>
        <w:ind w:left="720" w:hanging="360"/>
        <w:numPr>
          <w:ilvl w:val="0"/>
          <w:numId w:val="2"/>
        </w:numPr>
        <w:spacing w:before="60" w:after="60"/>
      </w:pPr>
      <w:r>
        <w:rPr>
          <w:b/>
        </w:rPr>
        <w:t xml:space="preserve">风险预防原则</w:t>
      </w:r>
      <w:r>
        <w:t xml:space="preserve">：不应以缺乏充分的科学定论为由，推迟采取避免或减轻威胁的措施</w:t>
      </w:r>
    </w:p>
    <w:p>
      <w:pPr>
        <w:ind w:left="720" w:hanging="360"/>
        <w:numPr>
          <w:ilvl w:val="0"/>
          <w:numId w:val="2"/>
        </w:numPr>
        <w:spacing w:before="60" w:after="60"/>
      </w:pPr>
      <w:r>
        <w:rPr>
          <w:b/>
        </w:rPr>
        <w:t xml:space="preserve">预防优于救济</w:t>
      </w:r>
      <w:r>
        <w:t xml:space="preserve">：生态破坏往往具有不可逆性，应防患于未然</w:t>
      </w:r>
    </w:p>
    <w:p>
      <w:pPr>
        <w:ind w:left="720" w:hanging="360"/>
        <w:numPr>
          <w:ilvl w:val="0"/>
          <w:numId w:val="2"/>
        </w:numPr>
        <w:spacing w:before="60" w:after="60"/>
      </w:pPr>
      <w:r>
        <w:rPr>
          <w:b/>
        </w:rPr>
        <w:t xml:space="preserve">生态优先原则</w:t>
      </w:r>
      <w:r>
        <w:t xml:space="preserve">：应将生态优先贯穿到水电规划开发全过程</w:t>
      </w:r>
    </w:p>
    <w:p>
      <w:pPr/>
    </w:p>
    <w:p>
      <w:pPr>
        <w:pStyle w:val="Heading3"/>
      </w:pPr>
      <w:r>
        <w:t xml:space="preserve">五、判决结果</w:t>
      </w:r>
    </w:p>
    <w:p>
      <w:pPr/>
    </w:p>
    <w:tbl>
      <w:tblPr>
        <w:tblStyle w:val="TableGrid"/>
        <w:tblW w:w="5000" w:type="pct"/>
      </w:tblPr>
      <w:tr>
        <w:tc>
          <w:tcPr>
            <w:tcW w:w="1800" w:type="dxa"/>
            <w:shd w:val="clear" w:color="auto" w:fill="E7E6E6"/>
          </w:tcPr>
          <w:p>
            <w:pPr>
              <w:jc w:val="left"/>
            </w:pPr>
            <w:r>
              <w:t xml:space="preserve">判项</w:t>
            </w:r>
          </w:p>
        </w:tc>
        <w:tc>
          <w:tcPr>
            <w:tcW w:w="1800" w:type="dxa"/>
            <w:shd w:val="clear" w:color="auto" w:fill="E7E6E6"/>
          </w:tcPr>
          <w:p>
            <w:pPr>
              <w:jc w:val="left"/>
            </w:pPr>
            <w:r>
              <w:t xml:space="preserve">内容</w:t>
            </w:r>
          </w:p>
        </w:tc>
      </w:tr>
      <w:tr>
        <w:tc>
          <w:tcPr>
            <w:tcW w:w="1800" w:type="dxa"/>
          </w:tcPr>
          <w:p>
            <w:pPr>
              <w:jc w:val="left"/>
            </w:pPr>
            <w:r>
              <w:rPr>
                <w:b/>
              </w:rPr>
              <w:t xml:space="preserve">第一项</w:t>
            </w:r>
          </w:p>
        </w:tc>
        <w:tc>
          <w:tcPr>
            <w:tcW w:w="1800" w:type="dxa"/>
          </w:tcPr>
          <w:p>
            <w:pPr>
              <w:jc w:val="left"/>
            </w:pPr>
            <w:r>
              <w:t xml:space="preserve">被告应将五小叶槭的生存作为环评重要内容，环评报告</w:t>
            </w:r>
            <w:r>
              <w:rPr>
                <w:b/>
              </w:rPr>
              <w:t xml:space="preserve">经审批通过后才能继续开展下一步工作</w:t>
            </w:r>
          </w:p>
        </w:tc>
      </w:tr>
      <w:tr>
        <w:tc>
          <w:tcPr>
            <w:tcW w:w="1800" w:type="dxa"/>
          </w:tcPr>
          <w:p>
            <w:pPr>
              <w:jc w:val="left"/>
            </w:pPr>
            <w:r>
              <w:rPr>
                <w:b/>
              </w:rPr>
              <w:t xml:space="preserve">第二项</w:t>
            </w:r>
          </w:p>
        </w:tc>
        <w:tc>
          <w:tcPr>
            <w:tcW w:w="1800" w:type="dxa"/>
          </w:tcPr>
          <w:p>
            <w:pPr>
              <w:jc w:val="left"/>
            </w:pPr>
            <w:r>
              <w:t xml:space="preserve">原告为诉讼产生的必要费用4万元、合理律师费1万元，从其他环境公益诉讼资金中支付</w:t>
            </w:r>
          </w:p>
        </w:tc>
      </w:tr>
      <w:tr>
        <w:tc>
          <w:tcPr>
            <w:tcW w:w="1800" w:type="dxa"/>
          </w:tcPr>
          <w:p>
            <w:pPr>
              <w:jc w:val="left"/>
            </w:pPr>
            <w:r>
              <w:rPr>
                <w:b/>
              </w:rPr>
              <w:t xml:space="preserve">第三项</w:t>
            </w:r>
          </w:p>
        </w:tc>
        <w:tc>
          <w:tcPr>
            <w:tcW w:w="1800" w:type="dxa"/>
          </w:tcPr>
          <w:p>
            <w:pPr>
              <w:jc w:val="left"/>
            </w:pPr>
            <w:r>
              <w:t xml:space="preserve">驳回原告要求"暂停一切建设工程"的请求（因项目尚未开工）</w:t>
            </w:r>
          </w:p>
        </w:tc>
      </w:tr>
    </w:tbl>
    <w:p>
      <w:pPr/>
    </w:p>
    <w:p>
      <w:pPr/>
      <w:r>
        <w:t xml:space="preserve">一审判决后当事人未上诉，判决已生效。</w:t>
      </w:r>
    </w:p>
    <w:p>
      <w:pPr/>
    </w:p>
    <w:p>
      <w:pPr>
        <w:pStyle w:val="Heading3"/>
      </w:pPr>
      <w:r>
        <w:t xml:space="preserve">六、对慈善组织的意义</w:t>
      </w:r>
    </w:p>
    <w:p>
      <w:pPr/>
    </w:p>
    <w:p>
      <w:pPr>
        <w:ind w:left="720" w:hanging="360"/>
        <w:numPr>
          <w:ilvl w:val="0"/>
          <w:numId w:val="2"/>
        </w:numPr>
        <w:spacing w:before="60" w:after="60"/>
      </w:pPr>
      <w:r>
        <w:t xml:space="preserve">明确了</w:t>
      </w:r>
      <w:r>
        <w:rPr>
          <w:b/>
        </w:rPr>
        <w:t xml:space="preserve">社会组织（基金会）提起环境公益诉讼</w:t>
      </w:r>
      <w:r>
        <w:t xml:space="preserve">的主体资格</w:t>
      </w:r>
    </w:p>
    <w:p>
      <w:pPr>
        <w:ind w:left="720" w:hanging="360"/>
        <w:numPr>
          <w:ilvl w:val="0"/>
          <w:numId w:val="2"/>
        </w:numPr>
        <w:spacing w:before="60" w:after="60"/>
      </w:pPr>
      <w:r>
        <w:t xml:space="preserve">确立了</w:t>
      </w:r>
      <w:r>
        <w:rPr>
          <w:b/>
        </w:rPr>
        <w:t xml:space="preserve">预防性公益诉讼</w:t>
      </w:r>
      <w:r>
        <w:t xml:space="preserve">的裁判规则</w:t>
      </w:r>
    </w:p>
    <w:p>
      <w:pPr>
        <w:ind w:left="720" w:hanging="360"/>
        <w:numPr>
          <w:ilvl w:val="0"/>
          <w:numId w:val="2"/>
        </w:numPr>
        <w:spacing w:before="60" w:after="60"/>
      </w:pPr>
      <w:r>
        <w:t xml:space="preserve">为慈善组织参与</w:t>
      </w:r>
      <w:r>
        <w:rPr>
          <w:b/>
        </w:rPr>
        <w:t xml:space="preserve">生态环境保护</w:t>
      </w:r>
      <w:r>
        <w:t xml:space="preserve">提供了法律路径参考</w:t>
      </w:r>
    </w:p>
    <w:p>
      <w:pPr/>
    </w:p>
    <w:p>
      <w:pPr>
        <w:pBdr>
          <w:bottom w:val="single" w:sz="8" w:space="1" w:color="000000"/>
        </w:pBdr>
        <w:spacing w:before="120" w:after="120"/>
      </w:pPr>
      <w:r>
        <w:t/>
      </w:r>
    </w:p>
    <w:p>
      <w:pPr/>
    </w:p>
    <w:p>
      <w:pPr/>
      <w:r>
        <w:t xml:space="preserve">&lt;a name="案例五"&gt;&lt;/a&gt;</w:t>
      </w:r>
    </w:p>
    <w:p>
      <w:pPr>
        <w:pStyle w:val="Heading2"/>
      </w:pPr>
      <w:r>
        <w:t xml:space="preserve">案例五：(2021)粤01民初576号 — 中国绿发会诉肖习文生态破坏民事公益诉讼案</w:t>
      </w:r>
    </w:p>
    <w:p>
      <w:pPr/>
    </w:p>
    <w:p>
      <w:pPr>
        <w:pStyle w:val="Heading3"/>
      </w:pPr>
      <w:r>
        <w:t xml:space="preserve">一、基本信息</w:t>
      </w:r>
    </w:p>
    <w:p>
      <w:pPr/>
    </w:p>
    <w:tbl>
      <w:tblPr>
        <w:tblStyle w:val="TableGrid"/>
        <w:tblW w:w="5000" w:type="pct"/>
      </w:tblPr>
      <w:tr>
        <w:tc>
          <w:tcPr>
            <w:tcW w:w="1800" w:type="dxa"/>
            <w:shd w:val="clear" w:color="auto" w:fill="E7E6E6"/>
          </w:tcPr>
          <w:p>
            <w:pPr>
              <w:jc w:val="left"/>
            </w:pPr>
            <w:r>
              <w:t xml:space="preserve">项目</w:t>
            </w:r>
          </w:p>
        </w:tc>
        <w:tc>
          <w:tcPr>
            <w:tcW w:w="1800" w:type="dxa"/>
            <w:shd w:val="clear" w:color="auto" w:fill="E7E6E6"/>
          </w:tcPr>
          <w:p>
            <w:pPr>
              <w:jc w:val="left"/>
            </w:pPr>
            <w:r>
              <w:t xml:space="preserve">内容</w:t>
            </w:r>
          </w:p>
        </w:tc>
      </w:tr>
      <w:tr>
        <w:tc>
          <w:tcPr>
            <w:tcW w:w="1800" w:type="dxa"/>
          </w:tcPr>
          <w:p>
            <w:pPr>
              <w:jc w:val="left"/>
            </w:pPr>
            <w:r>
              <w:rPr>
                <w:b/>
              </w:rPr>
              <w:t xml:space="preserve">案号</w:t>
            </w:r>
          </w:p>
        </w:tc>
        <w:tc>
          <w:tcPr>
            <w:tcW w:w="1800" w:type="dxa"/>
          </w:tcPr>
          <w:p>
            <w:pPr>
              <w:jc w:val="left"/>
            </w:pPr>
            <w:r>
              <w:t xml:space="preserve">（2021）粤01民初576号</w:t>
            </w:r>
          </w:p>
        </w:tc>
      </w:tr>
      <w:tr>
        <w:tc>
          <w:tcPr>
            <w:tcW w:w="1800" w:type="dxa"/>
          </w:tcPr>
          <w:p>
            <w:pPr>
              <w:jc w:val="left"/>
            </w:pPr>
            <w:r>
              <w:rPr>
                <w:b/>
              </w:rPr>
              <w:t xml:space="preserve">审理法院</w:t>
            </w:r>
          </w:p>
        </w:tc>
        <w:tc>
          <w:tcPr>
            <w:tcW w:w="1800" w:type="dxa"/>
          </w:tcPr>
          <w:p>
            <w:pPr>
              <w:jc w:val="left"/>
            </w:pPr>
            <w:r>
              <w:t xml:space="preserve">广东省广州市中级人民法院</w:t>
            </w:r>
          </w:p>
        </w:tc>
      </w:tr>
      <w:tr>
        <w:tc>
          <w:tcPr>
            <w:tcW w:w="1800" w:type="dxa"/>
          </w:tcPr>
          <w:p>
            <w:pPr>
              <w:jc w:val="left"/>
            </w:pPr>
            <w:r>
              <w:rPr>
                <w:b/>
              </w:rPr>
              <w:t xml:space="preserve">裁判日期</w:t>
            </w:r>
          </w:p>
        </w:tc>
        <w:tc>
          <w:tcPr>
            <w:tcW w:w="1800" w:type="dxa"/>
          </w:tcPr>
          <w:p>
            <w:pPr>
              <w:jc w:val="left"/>
            </w:pPr>
            <w:r>
              <w:t xml:space="preserve">2021年9月13日</w:t>
            </w:r>
          </w:p>
        </w:tc>
      </w:tr>
      <w:tr>
        <w:tc>
          <w:tcPr>
            <w:tcW w:w="1800" w:type="dxa"/>
          </w:tcPr>
          <w:p>
            <w:pPr>
              <w:jc w:val="left"/>
            </w:pPr>
            <w:r>
              <w:rPr>
                <w:b/>
              </w:rPr>
              <w:t xml:space="preserve">原告</w:t>
            </w:r>
          </w:p>
        </w:tc>
        <w:tc>
          <w:tcPr>
            <w:tcW w:w="1800" w:type="dxa"/>
          </w:tcPr>
          <w:p>
            <w:pPr>
              <w:jc w:val="left"/>
            </w:pPr>
            <w:r>
              <w:t xml:space="preserve">中国生物多样性保护与绿色发展基金会</w:t>
            </w:r>
          </w:p>
        </w:tc>
      </w:tr>
      <w:tr>
        <w:tc>
          <w:tcPr>
            <w:tcW w:w="1800" w:type="dxa"/>
          </w:tcPr>
          <w:p>
            <w:pPr>
              <w:jc w:val="left"/>
            </w:pPr>
            <w:r>
              <w:rPr>
                <w:b/>
              </w:rPr>
              <w:t xml:space="preserve">被告</w:t>
            </w:r>
          </w:p>
        </w:tc>
        <w:tc>
          <w:tcPr>
            <w:tcW w:w="1800" w:type="dxa"/>
          </w:tcPr>
          <w:p>
            <w:pPr>
              <w:jc w:val="left"/>
            </w:pPr>
            <w:r>
              <w:t xml:space="preserve">肖习文（在押服刑人员）</w:t>
            </w:r>
          </w:p>
        </w:tc>
      </w:tr>
      <w:tr>
        <w:tc>
          <w:tcPr>
            <w:tcW w:w="1800" w:type="dxa"/>
          </w:tcPr>
          <w:p>
            <w:pPr>
              <w:jc w:val="left"/>
            </w:pPr>
            <w:r>
              <w:rPr>
                <w:b/>
              </w:rPr>
              <w:t xml:space="preserve">案由</w:t>
            </w:r>
          </w:p>
        </w:tc>
        <w:tc>
          <w:tcPr>
            <w:tcW w:w="1800" w:type="dxa"/>
          </w:tcPr>
          <w:p>
            <w:pPr>
              <w:jc w:val="left"/>
            </w:pPr>
            <w:r>
              <w:t xml:space="preserve">生态破坏民事公益诉讼</w:t>
            </w:r>
          </w:p>
        </w:tc>
      </w:tr>
    </w:tbl>
    <w:p>
      <w:pPr/>
    </w:p>
    <w:p>
      <w:pPr>
        <w:pStyle w:val="Heading3"/>
      </w:pPr>
      <w:r>
        <w:t xml:space="preserve">二、案件事实</w:t>
      </w:r>
    </w:p>
    <w:p>
      <w:pPr/>
    </w:p>
    <w:p>
      <w:pPr>
        <w:ind w:left="720" w:hanging="360"/>
        <w:numPr>
          <w:ilvl w:val="0"/>
          <w:numId w:val="1"/>
        </w:numPr>
        <w:spacing w:before="60" w:after="60"/>
      </w:pPr>
      <w:r>
        <w:t xml:space="preserve">肖习文非法收购、出售国家保护野生动物穿山甲</w:t>
      </w:r>
      <w:r>
        <w:rPr>
          <w:b/>
        </w:rPr>
        <w:t xml:space="preserve">共65只</w:t>
      </w:r>
      <w:r>
        <w:t xml:space="preserve">（其中确定死亡59只）</w:t>
      </w:r>
    </w:p>
    <w:p>
      <w:pPr>
        <w:ind w:left="720" w:hanging="360"/>
        <w:numPr>
          <w:ilvl w:val="0"/>
          <w:numId w:val="1"/>
        </w:numPr>
        <w:spacing w:before="60" w:after="60"/>
      </w:pPr>
      <w:r>
        <w:t xml:space="preserve">已被刑事判决认定犯非法收购、出售珍贵、濒危野生动物罪</w:t>
      </w:r>
    </w:p>
    <w:p>
      <w:pPr>
        <w:ind w:left="720" w:hanging="360"/>
        <w:numPr>
          <w:ilvl w:val="0"/>
          <w:numId w:val="1"/>
        </w:numPr>
        <w:spacing w:before="60" w:after="60"/>
      </w:pPr>
      <w:r>
        <w:t xml:space="preserve">绿发会作为社会组织提起民事公益诉讼，要求赔偿生态环境修复费用</w:t>
      </w:r>
    </w:p>
    <w:p>
      <w:pPr/>
    </w:p>
    <w:p>
      <w:pPr>
        <w:pStyle w:val="Heading3"/>
      </w:pPr>
      <w:r>
        <w:t xml:space="preserve">三、法院认定</w:t>
      </w:r>
    </w:p>
    <w:p>
      <w:pPr/>
    </w:p>
    <w:p>
      <w:pPr/>
      <w:r>
        <w:rPr>
          <w:i/>
        </w:rPr>
        <w:t xml:space="preserve">|||ITALIC|||关于原告主体资格</w:t>
      </w:r>
      <w:r>
        <w:rPr>
          <w:b/>
          <w:i/>
        </w:rPr>
        <w:t xml:space="preserve">：绿发会系在民政部登记的基金会法人，专门从事环境保护公益活动</w:t>
      </w:r>
      <w:r>
        <w:rPr>
          <w:i/>
        </w:rPr>
        <w:t xml:space="preserve">连续五年以上且无违法记录</w:t>
      </w:r>
      <w:r>
        <w:t xml:space="preserve">|||/ITALIC|||，具备提起生态破坏民事公益诉讼的主体资格。</w:t>
      </w:r>
    </w:p>
    <w:p>
      <w:pPr/>
    </w:p>
    <w:p>
      <w:pPr/>
      <w:r>
        <w:rPr>
          <w:b/>
        </w:rPr>
        <w:t xml:space="preserve">关于赔偿数额的认定</w:t>
      </w:r>
      <w:r>
        <w:t xml:space="preserve">：</w:t>
      </w:r>
    </w:p>
    <w:p>
      <w:pPr/>
    </w:p>
    <w:tbl>
      <w:tblPr>
        <w:tblStyle w:val="TableGrid"/>
        <w:tblW w:w="5000" w:type="pct"/>
      </w:tblPr>
      <w:tr>
        <w:tc>
          <w:tcPr>
            <w:tcW w:w="1800" w:type="dxa"/>
            <w:shd w:val="clear" w:color="auto" w:fill="E7E6E6"/>
          </w:tcPr>
          <w:p>
            <w:pPr>
              <w:jc w:val="left"/>
            </w:pPr>
            <w:r>
              <w:t xml:space="preserve">计算要素</w:t>
            </w:r>
          </w:p>
        </w:tc>
        <w:tc>
          <w:tcPr>
            <w:tcW w:w="1800" w:type="dxa"/>
            <w:shd w:val="clear" w:color="auto" w:fill="E7E6E6"/>
          </w:tcPr>
          <w:p>
            <w:pPr>
              <w:jc w:val="left"/>
            </w:pPr>
            <w:r>
              <w:t xml:space="preserve">详情</w:t>
            </w:r>
          </w:p>
        </w:tc>
      </w:tr>
      <w:tr>
        <w:tc>
          <w:tcPr>
            <w:tcW w:w="1800" w:type="dxa"/>
          </w:tcPr>
          <w:p>
            <w:pPr>
              <w:jc w:val="left"/>
            </w:pPr>
            <w:r>
              <w:t xml:space="preserve">基准价值</w:t>
            </w:r>
          </w:p>
        </w:tc>
        <w:tc>
          <w:tcPr>
            <w:tcW w:w="1800" w:type="dxa"/>
          </w:tcPr>
          <w:p>
            <w:pPr>
              <w:jc w:val="left"/>
            </w:pPr>
            <w:r>
              <w:t xml:space="preserve">8000元/只（依据《野生动物及其制品价值评估方法》）</w:t>
            </w:r>
          </w:p>
        </w:tc>
      </w:tr>
      <w:tr>
        <w:tc>
          <w:tcPr>
            <w:tcW w:w="1800" w:type="dxa"/>
          </w:tcPr>
          <w:p>
            <w:pPr>
              <w:jc w:val="left"/>
            </w:pPr>
            <w:r>
              <w:t xml:space="preserve">保护倍数</w:t>
            </w:r>
          </w:p>
        </w:tc>
        <w:tc>
          <w:tcPr>
            <w:tcW w:w="1800" w:type="dxa"/>
          </w:tcPr>
          <w:p>
            <w:pPr>
              <w:jc w:val="left"/>
            </w:pPr>
            <w:r>
              <w:t xml:space="preserve">五倍（国家二级保护野生动物）</w:t>
            </w:r>
          </w:p>
        </w:tc>
      </w:tr>
      <w:tr>
        <w:tc>
          <w:tcPr>
            <w:tcW w:w="1800" w:type="dxa"/>
          </w:tcPr>
          <w:p>
            <w:pPr>
              <w:jc w:val="left"/>
            </w:pPr>
            <w:r>
              <w:t xml:space="preserve">单只价值</w:t>
            </w:r>
          </w:p>
        </w:tc>
        <w:tc>
          <w:tcPr>
            <w:tcW w:w="1800" w:type="dxa"/>
          </w:tcPr>
          <w:p>
            <w:pPr>
              <w:jc w:val="left"/>
            </w:pPr>
            <w:r>
              <w:t xml:space="preserve">8000元×5＝4万元/只</w:t>
            </w:r>
          </w:p>
        </w:tc>
      </w:tr>
      <w:tr>
        <w:tc>
          <w:tcPr>
            <w:tcW w:w="1800" w:type="dxa"/>
          </w:tcPr>
          <w:p>
            <w:pPr>
              <w:jc w:val="left"/>
            </w:pPr>
            <w:r>
              <w:t xml:space="preserve">确定死亡数量</w:t>
            </w:r>
          </w:p>
        </w:tc>
        <w:tc>
          <w:tcPr>
            <w:tcW w:w="1800" w:type="dxa"/>
          </w:tcPr>
          <w:p>
            <w:pPr>
              <w:jc w:val="left"/>
            </w:pPr>
            <w:r>
              <w:t xml:space="preserve">59只</w:t>
            </w:r>
          </w:p>
        </w:tc>
      </w:tr>
      <w:tr>
        <w:tc>
          <w:tcPr>
            <w:tcW w:w="1800" w:type="dxa"/>
          </w:tcPr>
          <w:p>
            <w:pPr>
              <w:jc w:val="left"/>
            </w:pPr>
            <w:r>
              <w:rPr>
                <w:b/>
              </w:rPr>
              <w:t xml:space="preserve">生态环境修复费用</w:t>
            </w:r>
          </w:p>
        </w:tc>
        <w:tc>
          <w:tcPr>
            <w:tcW w:w="1800" w:type="dxa"/>
          </w:tcPr>
          <w:p>
            <w:pPr>
              <w:jc w:val="left"/>
            </w:pPr>
            <w:r>
              <w:rPr>
                <w:b/>
              </w:rPr>
              <w:t xml:space="preserve">59只×4万元＝236万元</w:t>
            </w:r>
          </w:p>
        </w:tc>
      </w:tr>
    </w:tbl>
    <w:p>
      <w:pPr/>
    </w:p>
    <w:p>
      <w:pPr>
        <w:pStyle w:val="Heading3"/>
      </w:pPr>
      <w:r>
        <w:t xml:space="preserve">四、判决结果</w:t>
      </w:r>
    </w:p>
    <w:p>
      <w:pPr/>
    </w:p>
    <w:p>
      <w:pPr>
        <w:ind w:left="720" w:hanging="360"/>
        <w:numPr>
          <w:ilvl w:val="0"/>
          <w:numId w:val="2"/>
        </w:numPr>
        <w:spacing w:before="60" w:after="60"/>
      </w:pPr>
      <w:r>
        <w:t xml:space="preserve">被告赔偿生态环境修复费用</w:t>
      </w:r>
      <w:r>
        <w:rPr>
          <w:b/>
        </w:rPr>
        <w:t xml:space="preserve">236万元</w:t>
      </w:r>
      <w:r>
        <w:t xml:space="preserve">（上缴国库，用于修复被损害的生态环境）</w:t>
      </w:r>
    </w:p>
    <w:p>
      <w:pPr>
        <w:ind w:left="720" w:hanging="360"/>
        <w:numPr>
          <w:ilvl w:val="0"/>
          <w:numId w:val="2"/>
        </w:numPr>
        <w:spacing w:before="60" w:after="60"/>
      </w:pPr>
      <w:r>
        <w:t xml:space="preserve">被告赔偿律师费1万元及差旅费1,500元</w:t>
      </w:r>
    </w:p>
    <w:p>
      <w:pPr>
        <w:ind w:left="720" w:hanging="360"/>
        <w:numPr>
          <w:ilvl w:val="0"/>
          <w:numId w:val="2"/>
        </w:numPr>
        <w:spacing w:before="60" w:after="60"/>
      </w:pPr>
      <w:r>
        <w:t xml:space="preserve">被告在</w:t>
      </w:r>
      <w:r>
        <w:rPr>
          <w:b/>
        </w:rPr>
        <w:t xml:space="preserve">国家级媒体</w:t>
      </w:r>
      <w:r>
        <w:t xml:space="preserve">上发表赔礼道歉声明</w:t>
      </w:r>
    </w:p>
    <w:p>
      <w:pPr>
        <w:ind w:left="720" w:hanging="360"/>
        <w:numPr>
          <w:ilvl w:val="0"/>
          <w:numId w:val="2"/>
        </w:numPr>
        <w:spacing w:before="60" w:after="60"/>
      </w:pPr>
      <w:r>
        <w:t xml:space="preserve">案件受理费25,772元由被告负担</w:t>
      </w:r>
    </w:p>
    <w:p>
      <w:pPr/>
    </w:p>
    <w:p>
      <w:pPr/>
      <w:r>
        <w:t xml:space="preserve">本案系缺席判决。</w:t>
      </w:r>
    </w:p>
    <w:p>
      <w:pPr/>
    </w:p>
    <w:p>
      <w:pPr>
        <w:pStyle w:val="Heading3"/>
      </w:pPr>
      <w:r>
        <w:t xml:space="preserve">五、典型意义</w:t>
      </w:r>
    </w:p>
    <w:p>
      <w:pPr/>
    </w:p>
    <w:p>
      <w:pPr>
        <w:ind w:left="720" w:hanging="360"/>
        <w:numPr>
          <w:ilvl w:val="0"/>
          <w:numId w:val="2"/>
        </w:numPr>
        <w:spacing w:before="60" w:after="60"/>
      </w:pPr>
      <w:r>
        <w:t xml:space="preserve">确认了基金会提起环境公益诉讼的</w:t>
      </w:r>
      <w:r>
        <w:rPr>
          <w:b/>
        </w:rPr>
        <w:t xml:space="preserve">资格条件</w:t>
      </w:r>
      <w:r>
        <w:t xml:space="preserve">（连续五年+无违法记录）</w:t>
      </w:r>
    </w:p>
    <w:p>
      <w:pPr>
        <w:ind w:left="720" w:hanging="360"/>
        <w:numPr>
          <w:ilvl w:val="0"/>
          <w:numId w:val="2"/>
        </w:numPr>
        <w:spacing w:before="60" w:after="60"/>
      </w:pPr>
      <w:r>
        <w:t xml:space="preserve">明确了生态环境修复费用的</w:t>
      </w:r>
      <w:r>
        <w:rPr>
          <w:b/>
        </w:rPr>
        <w:t xml:space="preserve">计算方法</w:t>
      </w:r>
      <w:r>
        <w:t xml:space="preserve">（基准价值×保护级别倍数）</w:t>
      </w:r>
    </w:p>
    <w:p>
      <w:pPr>
        <w:ind w:left="720" w:hanging="360"/>
        <w:numPr>
          <w:ilvl w:val="0"/>
          <w:numId w:val="2"/>
        </w:numPr>
        <w:spacing w:before="60" w:after="60"/>
      </w:pPr>
      <w:r>
        <w:t xml:space="preserve">体现了</w:t>
      </w:r>
      <w:r>
        <w:rPr>
          <w:b/>
        </w:rPr>
        <w:t xml:space="preserve">"刑民衔接"</w:t>
      </w:r>
      <w:r>
        <w:t xml:space="preserve">的公益诉讼模式</w:t>
      </w:r>
    </w:p>
    <w:p>
      <w:pPr/>
    </w:p>
    <w:p>
      <w:pPr>
        <w:pBdr>
          <w:bottom w:val="single" w:sz="8" w:space="1" w:color="000000"/>
        </w:pBdr>
        <w:spacing w:before="120" w:after="120"/>
      </w:pPr>
      <w:r>
        <w:t/>
      </w:r>
    </w:p>
    <w:p>
      <w:pPr/>
    </w:p>
    <w:p>
      <w:pPr/>
      <w:r>
        <w:t xml:space="preserve">&lt;a name="案例六"&gt;&lt;/a&gt;</w:t>
      </w:r>
    </w:p>
    <w:p>
      <w:pPr>
        <w:pStyle w:val="Heading2"/>
      </w:pPr>
      <w:r>
        <w:t xml:space="preserve">案例六：延长县慈善协会诉刘某某等民间借贷纠纷案</w:t>
      </w:r>
    </w:p>
    <w:p>
      <w:pPr/>
    </w:p>
    <w:p>
      <w:pPr>
        <w:pStyle w:val="Heading3"/>
      </w:pPr>
      <w:r>
        <w:t xml:space="preserve">一、基本信息</w:t>
      </w:r>
    </w:p>
    <w:p>
      <w:pPr/>
    </w:p>
    <w:tbl>
      <w:tblPr>
        <w:tblStyle w:val="TableGrid"/>
        <w:tblW w:w="5000" w:type="pct"/>
      </w:tblPr>
      <w:tr>
        <w:tc>
          <w:tcPr>
            <w:tcW w:w="1800" w:type="dxa"/>
            <w:shd w:val="clear" w:color="auto" w:fill="E7E6E6"/>
          </w:tcPr>
          <w:p>
            <w:pPr>
              <w:jc w:val="left"/>
            </w:pPr>
            <w:r>
              <w:t xml:space="preserve">项目</w:t>
            </w:r>
          </w:p>
        </w:tc>
        <w:tc>
          <w:tcPr>
            <w:tcW w:w="1800" w:type="dxa"/>
            <w:shd w:val="clear" w:color="auto" w:fill="E7E6E6"/>
          </w:tcPr>
          <w:p>
            <w:pPr>
              <w:jc w:val="left"/>
            </w:pPr>
            <w:r>
              <w:t xml:space="preserve">内容</w:t>
            </w:r>
          </w:p>
        </w:tc>
      </w:tr>
      <w:tr>
        <w:tc>
          <w:tcPr>
            <w:tcW w:w="1800" w:type="dxa"/>
          </w:tcPr>
          <w:p>
            <w:pPr>
              <w:jc w:val="left"/>
            </w:pPr>
            <w:r>
              <w:rPr>
                <w:b/>
              </w:rPr>
              <w:t xml:space="preserve">审理法院</w:t>
            </w:r>
          </w:p>
        </w:tc>
        <w:tc>
          <w:tcPr>
            <w:tcW w:w="1800" w:type="dxa"/>
          </w:tcPr>
          <w:p>
            <w:pPr>
              <w:jc w:val="left"/>
            </w:pPr>
            <w:r>
              <w:t xml:space="preserve">陕西省延长县人民法院（待核实）</w:t>
            </w:r>
          </w:p>
        </w:tc>
      </w:tr>
      <w:tr>
        <w:tc>
          <w:tcPr>
            <w:tcW w:w="1800" w:type="dxa"/>
          </w:tcPr>
          <w:p>
            <w:pPr>
              <w:jc w:val="left"/>
            </w:pPr>
            <w:r>
              <w:rPr>
                <w:b/>
              </w:rPr>
              <w:t xml:space="preserve">原告</w:t>
            </w:r>
          </w:p>
        </w:tc>
        <w:tc>
          <w:tcPr>
            <w:tcW w:w="1800" w:type="dxa"/>
          </w:tcPr>
          <w:p>
            <w:pPr>
              <w:jc w:val="left"/>
            </w:pPr>
            <w:r>
              <w:t xml:space="preserve">延长县慈善协会</w:t>
            </w:r>
          </w:p>
        </w:tc>
      </w:tr>
      <w:tr>
        <w:tc>
          <w:tcPr>
            <w:tcW w:w="1800" w:type="dxa"/>
          </w:tcPr>
          <w:p>
            <w:pPr>
              <w:jc w:val="left"/>
            </w:pPr>
            <w:r>
              <w:rPr>
                <w:b/>
              </w:rPr>
              <w:t xml:space="preserve">被告</w:t>
            </w:r>
          </w:p>
        </w:tc>
        <w:tc>
          <w:tcPr>
            <w:tcW w:w="1800" w:type="dxa"/>
          </w:tcPr>
          <w:p>
            <w:pPr>
              <w:jc w:val="left"/>
            </w:pPr>
            <w:r>
              <w:t xml:space="preserve">刘某某（借款人配偶）、呼某某某、呼某某泽（借款人子女）、李某某</w:t>
            </w:r>
          </w:p>
        </w:tc>
      </w:tr>
      <w:tr>
        <w:tc>
          <w:tcPr>
            <w:tcW w:w="1800" w:type="dxa"/>
          </w:tcPr>
          <w:p>
            <w:pPr>
              <w:jc w:val="left"/>
            </w:pPr>
            <w:r>
              <w:rPr>
                <w:b/>
              </w:rPr>
              <w:t xml:space="preserve">案由</w:t>
            </w:r>
          </w:p>
        </w:tc>
        <w:tc>
          <w:tcPr>
            <w:tcW w:w="1800" w:type="dxa"/>
          </w:tcPr>
          <w:p>
            <w:pPr>
              <w:jc w:val="left"/>
            </w:pPr>
            <w:r>
              <w:t xml:space="preserve">民间借贷纠纷</w:t>
            </w:r>
          </w:p>
        </w:tc>
      </w:tr>
    </w:tbl>
    <w:p>
      <w:pPr/>
    </w:p>
    <w:p>
      <w:pPr>
        <w:pStyle w:val="Heading3"/>
      </w:pPr>
      <w:r>
        <w:t xml:space="preserve">二、案件背景</w:t>
      </w:r>
    </w:p>
    <w:p>
      <w:pPr/>
    </w:p>
    <w:p>
      <w:pPr>
        <w:ind w:left="720" w:hanging="360"/>
        <w:numPr>
          <w:ilvl w:val="0"/>
          <w:numId w:val="1"/>
        </w:numPr>
        <w:spacing w:before="60" w:after="60"/>
      </w:pPr>
      <w:r>
        <w:t xml:space="preserve">延长县慈善协会曾向呼某某鹏提供借款</w:t>
      </w:r>
    </w:p>
    <w:p>
      <w:pPr>
        <w:ind w:left="720" w:hanging="360"/>
        <w:numPr>
          <w:ilvl w:val="0"/>
          <w:numId w:val="1"/>
        </w:numPr>
        <w:spacing w:before="60" w:after="60"/>
      </w:pPr>
      <w:r>
        <w:t xml:space="preserve">呼某某鹏将利息清至2019年3月8日</w:t>
      </w:r>
    </w:p>
    <w:p>
      <w:pPr>
        <w:ind w:left="720" w:hanging="360"/>
        <w:numPr>
          <w:ilvl w:val="0"/>
          <w:numId w:val="1"/>
        </w:numPr>
        <w:spacing w:before="60" w:after="60"/>
      </w:pPr>
      <w:r>
        <w:t xml:space="preserve">2020年呼某某鹏</w:t>
      </w:r>
      <w:r>
        <w:rPr>
          <w:b/>
        </w:rPr>
        <w:t xml:space="preserve">因公殉职</w:t>
      </w:r>
    </w:p>
    <w:p>
      <w:pPr>
        <w:ind w:left="720" w:hanging="360"/>
        <w:numPr>
          <w:ilvl w:val="0"/>
          <w:numId w:val="1"/>
        </w:numPr>
        <w:spacing w:before="60" w:after="60"/>
      </w:pPr>
      <w:r>
        <w:t xml:space="preserve">借款到期后，慈善协会起诉继承人，请求在继承遗产范围内偿还借款</w:t>
      </w:r>
    </w:p>
    <w:p>
      <w:pPr/>
    </w:p>
    <w:p>
      <w:pPr>
        <w:pStyle w:val="Heading3"/>
      </w:pPr>
      <w:r>
        <w:t xml:space="preserve">三、对慈善组织的启示</w:t>
      </w:r>
    </w:p>
    <w:p>
      <w:pPr/>
    </w:p>
    <w:p>
      <w:pPr/>
      <w:r>
        <w:rPr>
          <w:b/>
        </w:rPr>
        <w:t xml:space="preserve">该案揭示了一个重要问题</w:t>
      </w:r>
      <w:r>
        <w:t xml:space="preserve">：慈善组织将资金用于对外借款（而非慈善活动支出），是否合规？</w:t>
      </w:r>
    </w:p>
    <w:p>
      <w:pPr/>
    </w:p>
    <w:p>
      <w:pPr/>
      <w:r>
        <w:rPr>
          <w:b/>
        </w:rPr>
        <w:t xml:space="preserve">合规风险分析</w:t>
      </w:r>
      <w:r>
        <w:t xml:space="preserve">：</w:t>
      </w:r>
    </w:p>
    <w:p>
      <w:pPr>
        <w:ind w:left="720" w:hanging="360"/>
        <w:numPr>
          <w:ilvl w:val="0"/>
          <w:numId w:val="1"/>
        </w:numPr>
        <w:spacing w:before="60" w:after="60"/>
      </w:pPr>
      <w:r>
        <w:t xml:space="preserve">依据《慈善法》及《关于慈善组织开展慈善活动年度支出、管理费用和募捐成本的规定》，慈善组织的财产应当全部用于慈善目的</w:t>
      </w:r>
    </w:p>
    <w:p>
      <w:pPr>
        <w:ind w:left="720" w:hanging="360"/>
        <w:numPr>
          <w:ilvl w:val="0"/>
          <w:numId w:val="1"/>
        </w:numPr>
        <w:spacing w:before="60" w:after="60"/>
      </w:pPr>
      <w:r>
        <w:t xml:space="preserve">对外借款可能面临</w:t>
      </w:r>
      <w:r>
        <w:rPr>
          <w:b/>
        </w:rPr>
        <w:t xml:space="preserve">慈善支出比例不合规</w:t>
      </w:r>
      <w:r>
        <w:t xml:space="preserve">的风险</w:t>
      </w:r>
    </w:p>
    <w:p>
      <w:pPr>
        <w:ind w:left="720" w:hanging="360"/>
        <w:numPr>
          <w:ilvl w:val="0"/>
          <w:numId w:val="1"/>
        </w:numPr>
        <w:spacing w:before="60" w:after="60"/>
      </w:pPr>
      <w:r>
        <w:t xml:space="preserve">借款回收困难还会带来</w:t>
      </w:r>
      <w:r>
        <w:rPr>
          <w:b/>
        </w:rPr>
        <w:t xml:space="preserve">慈善财产损失风险</w:t>
      </w:r>
    </w:p>
    <w:p>
      <w:pPr/>
    </w:p>
    <w:p>
      <w:pPr>
        <w:pBdr>
          <w:bottom w:val="single" w:sz="8" w:space="1" w:color="000000"/>
        </w:pBdr>
        <w:spacing w:before="120" w:after="120"/>
      </w:pPr>
      <w:r>
        <w:t/>
      </w:r>
    </w:p>
    <w:p>
      <w:pPr/>
    </w:p>
    <w:p>
      <w:pPr/>
      <w:r>
        <w:t xml:space="preserve">&lt;a name="案例七"&gt;&lt;/a&gt;</w:t>
      </w:r>
    </w:p>
    <w:p>
      <w:pPr>
        <w:pStyle w:val="Heading2"/>
      </w:pPr>
      <w:r>
        <w:t xml:space="preserve">案例七：北京某装饰公司与某基金会公益事业捐赠合同纠纷案（2025年）</w:t>
      </w:r>
    </w:p>
    <w:p>
      <w:pPr/>
    </w:p>
    <w:p>
      <w:pPr>
        <w:pStyle w:val="Heading3"/>
      </w:pPr>
      <w:r>
        <w:t xml:space="preserve">一、基本信息</w:t>
      </w:r>
    </w:p>
    <w:p>
      <w:pPr/>
    </w:p>
    <w:tbl>
      <w:tblPr>
        <w:tblStyle w:val="TableGrid"/>
        <w:tblW w:w="5000" w:type="pct"/>
      </w:tblPr>
      <w:tr>
        <w:tc>
          <w:tcPr>
            <w:tcW w:w="1800" w:type="dxa"/>
            <w:shd w:val="clear" w:color="auto" w:fill="E7E6E6"/>
          </w:tcPr>
          <w:p>
            <w:pPr>
              <w:jc w:val="left"/>
            </w:pPr>
            <w:r>
              <w:t xml:space="preserve">项目</w:t>
            </w:r>
          </w:p>
        </w:tc>
        <w:tc>
          <w:tcPr>
            <w:tcW w:w="1800" w:type="dxa"/>
            <w:shd w:val="clear" w:color="auto" w:fill="E7E6E6"/>
          </w:tcPr>
          <w:p>
            <w:pPr>
              <w:jc w:val="left"/>
            </w:pPr>
            <w:r>
              <w:t xml:space="preserve">内容</w:t>
            </w:r>
          </w:p>
        </w:tc>
      </w:tr>
      <w:tr>
        <w:tc>
          <w:tcPr>
            <w:tcW w:w="1800" w:type="dxa"/>
          </w:tcPr>
          <w:p>
            <w:pPr>
              <w:jc w:val="left"/>
            </w:pPr>
            <w:r>
              <w:rPr>
                <w:b/>
              </w:rPr>
              <w:t xml:space="preserve">审理法院</w:t>
            </w:r>
          </w:p>
        </w:tc>
        <w:tc>
          <w:tcPr>
            <w:tcW w:w="1800" w:type="dxa"/>
          </w:tcPr>
          <w:p>
            <w:pPr>
              <w:jc w:val="left"/>
            </w:pPr>
            <w:r>
              <w:t xml:space="preserve">北京市第二中级人民法院</w:t>
            </w:r>
          </w:p>
        </w:tc>
      </w:tr>
      <w:tr>
        <w:tc>
          <w:tcPr>
            <w:tcW w:w="1800" w:type="dxa"/>
          </w:tcPr>
          <w:p>
            <w:pPr>
              <w:jc w:val="left"/>
            </w:pPr>
            <w:r>
              <w:rPr>
                <w:b/>
              </w:rPr>
              <w:t xml:space="preserve">裁判时间</w:t>
            </w:r>
          </w:p>
        </w:tc>
        <w:tc>
          <w:tcPr>
            <w:tcW w:w="1800" w:type="dxa"/>
          </w:tcPr>
          <w:p>
            <w:pPr>
              <w:jc w:val="left"/>
            </w:pPr>
            <w:r>
              <w:t xml:space="preserve">2025年</w:t>
            </w:r>
          </w:p>
        </w:tc>
      </w:tr>
      <w:tr>
        <w:tc>
          <w:tcPr>
            <w:tcW w:w="1800" w:type="dxa"/>
          </w:tcPr>
          <w:p>
            <w:pPr>
              <w:jc w:val="left"/>
            </w:pPr>
            <w:r>
              <w:rPr>
                <w:b/>
              </w:rPr>
              <w:t xml:space="preserve">原告</w:t>
            </w:r>
          </w:p>
        </w:tc>
        <w:tc>
          <w:tcPr>
            <w:tcW w:w="1800" w:type="dxa"/>
          </w:tcPr>
          <w:p>
            <w:pPr>
              <w:jc w:val="left"/>
            </w:pPr>
            <w:r>
              <w:t xml:space="preserve">北京某装饰公司</w:t>
            </w:r>
          </w:p>
        </w:tc>
      </w:tr>
      <w:tr>
        <w:tc>
          <w:tcPr>
            <w:tcW w:w="1800" w:type="dxa"/>
          </w:tcPr>
          <w:p>
            <w:pPr>
              <w:jc w:val="left"/>
            </w:pPr>
            <w:r>
              <w:rPr>
                <w:b/>
              </w:rPr>
              <w:t xml:space="preserve">被告</w:t>
            </w:r>
          </w:p>
        </w:tc>
        <w:tc>
          <w:tcPr>
            <w:tcW w:w="1800" w:type="dxa"/>
          </w:tcPr>
          <w:p>
            <w:pPr>
              <w:jc w:val="left"/>
            </w:pPr>
            <w:r>
              <w:t xml:space="preserve">某基金会</w:t>
            </w:r>
          </w:p>
        </w:tc>
      </w:tr>
      <w:tr>
        <w:tc>
          <w:tcPr>
            <w:tcW w:w="1800" w:type="dxa"/>
          </w:tcPr>
          <w:p>
            <w:pPr>
              <w:jc w:val="left"/>
            </w:pPr>
            <w:r>
              <w:rPr>
                <w:b/>
              </w:rPr>
              <w:t xml:space="preserve">案由</w:t>
            </w:r>
          </w:p>
        </w:tc>
        <w:tc>
          <w:tcPr>
            <w:tcW w:w="1800" w:type="dxa"/>
          </w:tcPr>
          <w:p>
            <w:pPr>
              <w:jc w:val="left"/>
            </w:pPr>
            <w:r>
              <w:t xml:space="preserve">公益事业捐赠合同纠纷</w:t>
            </w:r>
          </w:p>
        </w:tc>
      </w:tr>
    </w:tbl>
    <w:p>
      <w:pPr/>
    </w:p>
    <w:p>
      <w:pPr>
        <w:pStyle w:val="Heading3"/>
      </w:pPr>
      <w:r>
        <w:t xml:space="preserve">二、案件争议焦点</w:t>
      </w:r>
    </w:p>
    <w:p>
      <w:pPr/>
    </w:p>
    <w:p>
      <w:pPr/>
      <w:r>
        <w:t xml:space="preserve">该案主要涉及</w:t>
      </w:r>
      <w:r>
        <w:rPr>
          <w:b/>
        </w:rPr>
        <w:t xml:space="preserve">捐赠人监督权的行使边界</w:t>
      </w:r>
      <w:r>
        <w:t xml:space="preserve">问题：</w:t>
      </w:r>
    </w:p>
    <w:p>
      <w:pPr>
        <w:ind w:left="720" w:hanging="360"/>
        <w:numPr>
          <w:ilvl w:val="0"/>
          <w:numId w:val="2"/>
        </w:numPr>
        <w:spacing w:before="60" w:after="60"/>
      </w:pPr>
      <w:r>
        <w:t xml:space="preserve">捐赠人是否有权要求基金会提供捐赠资金使用的详细台账和凭证？</w:t>
      </w:r>
    </w:p>
    <w:p>
      <w:pPr>
        <w:ind w:left="720" w:hanging="360"/>
        <w:numPr>
          <w:ilvl w:val="0"/>
          <w:numId w:val="2"/>
        </w:numPr>
        <w:spacing w:before="60" w:after="60"/>
      </w:pPr>
      <w:r>
        <w:t xml:space="preserve">基金会的信息公开义务与捐赠人的知情权如何平衡？</w:t>
      </w:r>
    </w:p>
    <w:p>
      <w:pPr>
        <w:ind w:left="720" w:hanging="360"/>
        <w:numPr>
          <w:ilvl w:val="0"/>
          <w:numId w:val="2"/>
        </w:numPr>
        <w:spacing w:before="60" w:after="60"/>
      </w:pPr>
      <w:r>
        <w:t xml:space="preserve">捐赠人以基金会未充分披露为由要求解除捐赠协议是否成立？</w:t>
      </w:r>
    </w:p>
    <w:p>
      <w:pPr/>
    </w:p>
    <w:p>
      <w:pPr>
        <w:pStyle w:val="Heading3"/>
      </w:pPr>
      <w:r>
        <w:t xml:space="preserve">三、案例价值</w:t>
      </w:r>
    </w:p>
    <w:p>
      <w:pPr/>
    </w:p>
    <w:p>
      <w:pPr>
        <w:ind w:left="720" w:hanging="360"/>
        <w:numPr>
          <w:ilvl w:val="0"/>
          <w:numId w:val="1"/>
        </w:numPr>
        <w:spacing w:before="60" w:after="60"/>
      </w:pPr>
      <w:r>
        <w:t xml:space="preserve">该案是2025年新判决，反映了慈善法修订后（2024年修订）司法实践对</w:t>
      </w:r>
      <w:r>
        <w:rPr>
          <w:b/>
        </w:rPr>
        <w:t xml:space="preserve">捐赠人监督权</w:t>
      </w:r>
      <w:r>
        <w:t xml:space="preserve">的最新态度</w:t>
      </w:r>
    </w:p>
    <w:p>
      <w:pPr>
        <w:ind w:left="720" w:hanging="360"/>
        <w:numPr>
          <w:ilvl w:val="0"/>
          <w:numId w:val="1"/>
        </w:numPr>
        <w:spacing w:before="60" w:after="60"/>
      </w:pPr>
      <w:r>
        <w:t xml:space="preserve">对慈善组织</w:t>
      </w:r>
      <w:r>
        <w:rPr>
          <w:b/>
        </w:rPr>
        <w:t xml:space="preserve">信息公开合规</w:t>
      </w:r>
      <w:r>
        <w:t xml:space="preserve">具有重要参考价值</w:t>
      </w:r>
    </w:p>
    <w:p>
      <w:pPr/>
    </w:p>
    <w:p>
      <w:pPr>
        <w:pBdr>
          <w:bottom w:val="single" w:sz="8" w:space="1" w:color="000000"/>
        </w:pBdr>
        <w:spacing w:before="120" w:after="120"/>
      </w:pPr>
      <w:r>
        <w:t/>
      </w:r>
    </w:p>
    <w:p>
      <w:pPr/>
    </w:p>
    <w:p>
      <w:pPr>
        <w:pStyle w:val="Heading2"/>
      </w:pPr>
      <w:r>
        <w:t xml:space="preserve">综合分析与裁判规则总结</w:t>
      </w:r>
    </w:p>
    <w:p>
      <w:pPr/>
    </w:p>
    <w:p>
      <w:pPr>
        <w:pStyle w:val="Heading3"/>
      </w:pPr>
      <w:r>
        <w:t xml:space="preserve">一、案例类型分布</w:t>
      </w:r>
    </w:p>
    <w:p>
      <w:pPr/>
    </w:p>
    <w:tbl>
      <w:tblPr>
        <w:tblStyle w:val="TableGrid"/>
        <w:tblW w:w="5000" w:type="pct"/>
      </w:tblPr>
      <w:tr>
        <w:tc>
          <w:tcPr>
            <w:tcW w:w="1800" w:type="dxa"/>
            <w:shd w:val="clear" w:color="auto" w:fill="E7E6E6"/>
          </w:tcPr>
          <w:p>
            <w:pPr>
              <w:jc w:val="left"/>
            </w:pPr>
            <w:r>
              <w:t xml:space="preserve">纠纷类型</w:t>
            </w:r>
          </w:p>
        </w:tc>
        <w:tc>
          <w:tcPr>
            <w:tcW w:w="1800" w:type="dxa"/>
            <w:shd w:val="clear" w:color="auto" w:fill="E7E6E6"/>
          </w:tcPr>
          <w:p>
            <w:pPr>
              <w:jc w:val="left"/>
            </w:pPr>
            <w:r>
              <w:t xml:space="preserve">案例数量</w:t>
            </w:r>
          </w:p>
        </w:tc>
        <w:tc>
          <w:tcPr>
            <w:tcW w:w="1800" w:type="dxa"/>
            <w:shd w:val="clear" w:color="auto" w:fill="E7E6E6"/>
          </w:tcPr>
          <w:p>
            <w:pPr>
              <w:jc w:val="left"/>
            </w:pPr>
            <w:r>
              <w:t xml:space="preserve">代表案例</w:t>
            </w:r>
          </w:p>
        </w:tc>
      </w:tr>
      <w:tr>
        <w:tc>
          <w:tcPr>
            <w:tcW w:w="1800" w:type="dxa"/>
          </w:tcPr>
          <w:p>
            <w:pPr>
              <w:jc w:val="left"/>
            </w:pPr>
            <w:r>
              <w:rPr>
                <w:b/>
              </w:rPr>
              <w:t xml:space="preserve">合同/买卖纠纷</w:t>
            </w:r>
          </w:p>
        </w:tc>
        <w:tc>
          <w:tcPr>
            <w:tcW w:w="1800" w:type="dxa"/>
          </w:tcPr>
          <w:p>
            <w:pPr>
              <w:jc w:val="left"/>
            </w:pPr>
            <w:r>
              <w:t xml:space="preserve">1</w:t>
            </w:r>
          </w:p>
        </w:tc>
        <w:tc>
          <w:tcPr>
            <w:tcW w:w="1800" w:type="dxa"/>
          </w:tcPr>
          <w:p>
            <w:pPr>
              <w:jc w:val="left"/>
            </w:pPr>
            <w:r>
              <w:t xml:space="preserve">永康润达诉燕宝基金会案</w:t>
            </w:r>
          </w:p>
        </w:tc>
      </w:tr>
      <w:tr>
        <w:tc>
          <w:tcPr>
            <w:tcW w:w="1800" w:type="dxa"/>
          </w:tcPr>
          <w:p>
            <w:pPr>
              <w:jc w:val="left"/>
            </w:pPr>
            <w:r>
              <w:rPr>
                <w:b/>
              </w:rPr>
              <w:t xml:space="preserve">赠与/捐赠合同纠纷</w:t>
            </w:r>
          </w:p>
        </w:tc>
        <w:tc>
          <w:tcPr>
            <w:tcW w:w="1800" w:type="dxa"/>
          </w:tcPr>
          <w:p>
            <w:pPr>
              <w:jc w:val="left"/>
            </w:pPr>
            <w:r>
              <w:t xml:space="preserve">3</w:t>
            </w:r>
          </w:p>
        </w:tc>
        <w:tc>
          <w:tcPr>
            <w:tcW w:w="1800" w:type="dxa"/>
          </w:tcPr>
          <w:p>
            <w:pPr>
              <w:jc w:val="left"/>
            </w:pPr>
            <w:r>
              <w:t xml:space="preserve">吴幽案、美国妈妈联谊会案、北京二中院案</w:t>
            </w:r>
          </w:p>
        </w:tc>
      </w:tr>
      <w:tr>
        <w:tc>
          <w:tcPr>
            <w:tcW w:w="1800" w:type="dxa"/>
          </w:tcPr>
          <w:p>
            <w:pPr>
              <w:jc w:val="left"/>
            </w:pPr>
            <w:r>
              <w:rPr>
                <w:b/>
              </w:rPr>
              <w:t xml:space="preserve">环境公益诉讼</w:t>
            </w:r>
          </w:p>
        </w:tc>
        <w:tc>
          <w:tcPr>
            <w:tcW w:w="1800" w:type="dxa"/>
          </w:tcPr>
          <w:p>
            <w:pPr>
              <w:jc w:val="left"/>
            </w:pPr>
            <w:r>
              <w:t xml:space="preserve">2</w:t>
            </w:r>
          </w:p>
        </w:tc>
        <w:tc>
          <w:tcPr>
            <w:tcW w:w="1800" w:type="dxa"/>
          </w:tcPr>
          <w:p>
            <w:pPr>
              <w:jc w:val="left"/>
            </w:pPr>
            <w:r>
              <w:t xml:space="preserve">指导案例174号、(2021)粤01民初576号</w:t>
            </w:r>
          </w:p>
        </w:tc>
      </w:tr>
      <w:tr>
        <w:tc>
          <w:tcPr>
            <w:tcW w:w="1800" w:type="dxa"/>
          </w:tcPr>
          <w:p>
            <w:pPr>
              <w:jc w:val="left"/>
            </w:pPr>
            <w:r>
              <w:rPr>
                <w:b/>
              </w:rPr>
              <w:t xml:space="preserve">民间借贷纠纷</w:t>
            </w:r>
          </w:p>
        </w:tc>
        <w:tc>
          <w:tcPr>
            <w:tcW w:w="1800" w:type="dxa"/>
          </w:tcPr>
          <w:p>
            <w:pPr>
              <w:jc w:val="left"/>
            </w:pPr>
            <w:r>
              <w:t xml:space="preserve">1</w:t>
            </w:r>
          </w:p>
        </w:tc>
        <w:tc>
          <w:tcPr>
            <w:tcW w:w="1800" w:type="dxa"/>
          </w:tcPr>
          <w:p>
            <w:pPr>
              <w:jc w:val="left"/>
            </w:pPr>
            <w:r>
              <w:t xml:space="preserve">延长县慈善协会案</w:t>
            </w:r>
          </w:p>
        </w:tc>
      </w:tr>
    </w:tbl>
    <w:p>
      <w:pPr/>
    </w:p>
    <w:p>
      <w:pPr>
        <w:pStyle w:val="Heading3"/>
      </w:pPr>
      <w:r>
        <w:t xml:space="preserve">二、核心裁判规则</w:t>
      </w:r>
    </w:p>
    <w:p>
      <w:pPr/>
    </w:p>
    <w:p>
      <w:pPr>
        <w:ind w:left="720" w:hanging="360"/>
        <w:numPr>
          <w:ilvl w:val="0"/>
          <w:numId w:val="2"/>
        </w:numPr>
        <w:spacing w:before="60" w:after="60"/>
      </w:pPr>
      <w:r>
        <w:rPr>
          <w:b/>
        </w:rPr>
        <w:t xml:space="preserve">公益捐赠具有法律强制力</w:t>
      </w:r>
      <w:r>
        <w:t xml:space="preserve">（慈善法第41条）</w:t>
      </w:r>
    </w:p>
    <w:p>
      <w:pPr>
        <w:ind w:left="720" w:hanging="360"/>
        <w:numPr>
          <w:ilvl w:val="0"/>
          <w:numId w:val="1"/>
        </w:numPr>
        <w:spacing w:before="60" w:after="60"/>
      </w:pPr>
      <w:r>
        <w:t xml:space="preserve">公开承诺的捐赠不可随意反悔</w:t>
      </w:r>
    </w:p>
    <w:p>
      <w:pPr>
        <w:ind w:left="720" w:hanging="360"/>
        <w:numPr>
          <w:ilvl w:val="0"/>
          <w:numId w:val="1"/>
        </w:numPr>
        <w:spacing w:before="60" w:after="60"/>
      </w:pPr>
      <w:r>
        <w:t xml:space="preserve">穷困抗辩需严格证明</w:t>
      </w:r>
    </w:p>
    <w:p>
      <w:pPr/>
    </w:p>
    <w:p>
      <w:pPr>
        <w:ind w:left="720" w:hanging="360"/>
        <w:numPr>
          <w:ilvl w:val="0"/>
          <w:numId w:val="2"/>
        </w:numPr>
        <w:spacing w:before="60" w:after="60"/>
      </w:pPr>
      <w:r>
        <w:rPr>
          <w:b/>
        </w:rPr>
        <w:t xml:space="preserve">受赠人未按指定用途使用财产，捐赠人可行使法定撤销权</w:t>
      </w:r>
      <w:r>
        <w:t xml:space="preserve">（民法典第663条）</w:t>
      </w:r>
    </w:p>
    <w:p>
      <w:pPr>
        <w:ind w:left="720" w:hanging="360"/>
        <w:numPr>
          <w:ilvl w:val="0"/>
          <w:numId w:val="1"/>
        </w:numPr>
        <w:spacing w:before="60" w:after="60"/>
      </w:pPr>
      <w:r>
        <w:t xml:space="preserve">法定撤销权不排斥公益性质的赠与</w:t>
      </w:r>
    </w:p>
    <w:p>
      <w:pPr>
        <w:ind w:left="720" w:hanging="360"/>
        <w:numPr>
          <w:ilvl w:val="0"/>
          <w:numId w:val="1"/>
        </w:numPr>
        <w:spacing w:before="60" w:after="60"/>
      </w:pPr>
      <w:r>
        <w:t xml:space="preserve">撤销权自知道或应当知道撤销事由之日起一年内行使</w:t>
      </w:r>
    </w:p>
    <w:p>
      <w:pPr/>
    </w:p>
    <w:p>
      <w:pPr>
        <w:ind w:left="720" w:hanging="360"/>
        <w:numPr>
          <w:ilvl w:val="0"/>
          <w:numId w:val="2"/>
        </w:numPr>
        <w:spacing w:before="60" w:after="60"/>
      </w:pPr>
      <w:r>
        <w:rPr>
          <w:b/>
        </w:rPr>
        <w:t xml:space="preserve">社会组织具备环境公益诉讼主体资格的条件</w:t>
      </w:r>
    </w:p>
    <w:p>
      <w:pPr>
        <w:ind w:left="720" w:hanging="360"/>
        <w:numPr>
          <w:ilvl w:val="0"/>
          <w:numId w:val="1"/>
        </w:numPr>
        <w:spacing w:before="60" w:after="60"/>
      </w:pPr>
      <w:r>
        <w:t xml:space="preserve">合法登记的基金会法人</w:t>
      </w:r>
    </w:p>
    <w:p>
      <w:pPr>
        <w:ind w:left="720" w:hanging="360"/>
        <w:numPr>
          <w:ilvl w:val="0"/>
          <w:numId w:val="1"/>
        </w:numPr>
        <w:spacing w:before="60" w:after="60"/>
      </w:pPr>
      <w:r>
        <w:t xml:space="preserve">专门从事环境保护公益活动</w:t>
      </w:r>
    </w:p>
    <w:p>
      <w:pPr>
        <w:ind w:left="720" w:hanging="360"/>
        <w:numPr>
          <w:ilvl w:val="0"/>
          <w:numId w:val="1"/>
        </w:numPr>
        <w:spacing w:before="60" w:after="60"/>
      </w:pPr>
      <w:r>
        <w:t xml:space="preserve">连续五年以上且无违法记录</w:t>
      </w:r>
    </w:p>
    <w:p>
      <w:pPr/>
    </w:p>
    <w:p>
      <w:pPr>
        <w:ind w:left="720" w:hanging="360"/>
        <w:numPr>
          <w:ilvl w:val="0"/>
          <w:numId w:val="2"/>
        </w:numPr>
        <w:spacing w:before="60" w:after="60"/>
      </w:pPr>
      <w:r>
        <w:rPr>
          <w:b/>
        </w:rPr>
        <w:t xml:space="preserve">慈善组织应规范合同管理</w:t>
      </w:r>
    </w:p>
    <w:p>
      <w:pPr>
        <w:ind w:left="720" w:hanging="360"/>
        <w:numPr>
          <w:ilvl w:val="0"/>
          <w:numId w:val="1"/>
        </w:numPr>
        <w:spacing w:before="60" w:after="60"/>
      </w:pPr>
      <w:r>
        <w:t xml:space="preserve">签约要件完善（签字+盖章）</w:t>
      </w:r>
    </w:p>
    <w:p>
      <w:pPr>
        <w:ind w:left="720" w:hanging="360"/>
        <w:numPr>
          <w:ilvl w:val="0"/>
          <w:numId w:val="1"/>
        </w:numPr>
        <w:spacing w:before="60" w:after="60"/>
      </w:pPr>
      <w:r>
        <w:t xml:space="preserve">注意合同相对性原则</w:t>
      </w:r>
    </w:p>
    <w:p>
      <w:pPr>
        <w:ind w:left="720" w:hanging="360"/>
        <w:numPr>
          <w:ilvl w:val="0"/>
          <w:numId w:val="1"/>
        </w:numPr>
        <w:spacing w:before="60" w:after="60"/>
      </w:pPr>
      <w:r>
        <w:t xml:space="preserve">避免多头签署</w:t>
      </w:r>
    </w:p>
    <w:p>
      <w:pPr/>
    </w:p>
    <w:p>
      <w:pPr>
        <w:ind w:left="720" w:hanging="360"/>
        <w:numPr>
          <w:ilvl w:val="0"/>
          <w:numId w:val="2"/>
        </w:numPr>
        <w:spacing w:before="60" w:after="60"/>
      </w:pPr>
      <w:r>
        <w:rPr>
          <w:b/>
        </w:rPr>
        <w:t xml:space="preserve">慈善财产必须用于慈善目的</w:t>
      </w:r>
    </w:p>
    <w:p>
      <w:pPr>
        <w:ind w:left="720" w:hanging="360"/>
        <w:numPr>
          <w:ilvl w:val="0"/>
          <w:numId w:val="1"/>
        </w:numPr>
        <w:spacing w:before="60" w:after="60"/>
      </w:pPr>
      <w:r>
        <w:t xml:space="preserve">对外借款可能面临合规风险</w:t>
      </w:r>
    </w:p>
    <w:p>
      <w:pPr>
        <w:ind w:left="720" w:hanging="360"/>
        <w:numPr>
          <w:ilvl w:val="0"/>
          <w:numId w:val="1"/>
        </w:numPr>
        <w:spacing w:before="60" w:after="60"/>
      </w:pPr>
      <w:r>
        <w:t xml:space="preserve">需确保慈善支出合规比例</w:t>
      </w:r>
    </w:p>
    <w:p>
      <w:pPr/>
    </w:p>
    <w:p>
      <w:pPr>
        <w:pBdr>
          <w:bottom w:val="single" w:sz="8" w:space="1" w:color="000000"/>
        </w:pBdr>
        <w:spacing w:before="120" w:after="120"/>
      </w:pPr>
      <w:r>
        <w:t/>
      </w:r>
    </w:p>
    <w:p>
      <w:pPr/>
    </w:p>
    <w:p>
      <w:pPr>
        <w:pStyle w:val="Heading2"/>
      </w:pPr>
      <w:r>
        <w:t xml:space="preserve">检索说明与免责声明</w:t>
      </w:r>
    </w:p>
    <w:p>
      <w:pPr/>
    </w:p>
    <w:p>
      <w:pPr/>
      <w:r>
        <w:rPr>
          <w:b/>
        </w:rPr>
        <w:t xml:space="preserve">检索方法</w:t>
      </w:r>
      <w:r>
        <w:t xml:space="preserve">：通过中国裁判文书网（wenshu.court.gov.cn）、最高人民法院指导案例库（court.gov.cn）、案例开放平台（caseopen.org）等进行多源检索。</w:t>
      </w:r>
    </w:p>
    <w:p>
      <w:pPr/>
    </w:p>
    <w:p>
      <w:pPr/>
      <w:r>
        <w:rPr>
          <w:b/>
        </w:rPr>
        <w:t xml:space="preserve">信息准确性声明</w:t>
      </w:r>
      <w:r>
        <w:t xml:space="preserve">：本报告所引案例均来自公开渠道可查的裁判文书或官方发布信息，部分案例信息因原文书获取渠道限制可能存在细节不完整情况，具体内容和准确案号建议通过中国裁判文书网或人民法院案例库进一步核实。</w:t>
      </w:r>
    </w:p>
    <w:p>
      <w:pPr/>
    </w:p>
    <w:p>
      <w:pPr/>
      <w:r>
        <w:rPr>
          <w:b/>
        </w:rPr>
        <w:t xml:space="preserve">⚠️ 免责声明</w:t>
      </w:r>
      <w:r>
        <w:t xml:space="preserve">：本文仅供法律学习和研究参考，不构成正式法律意见。具体案件的法律适用和裁判结果应以生效判决书为准。</w:t>
      </w:r>
    </w:p>
    <w:p>
      <w:pPr/>
    </w:p>
    <w:p>
      <w:pPr>
        <w:pBdr>
          <w:bottom w:val="single" w:sz="8" w:space="1" w:color="000000"/>
        </w:pBdr>
        <w:spacing w:before="120" w:after="120"/>
      </w:pPr>
      <w:r>
        <w:t/>
      </w:r>
    </w:p>
    <w:p>
      <w:pPr/>
    </w:p>
    <w:p>
      <w:pPr/>
      <w:r>
        <w:rPr>
          <w:i/>
        </w:rPr>
        <w:t xml:space="preserve">报告生成时间：2026年6月13日</w:t>
      </w:r>
      <w:r>
        <w:t xml:space="preserve">  </w:t>
      </w:r>
    </w:p>
    <w:p>
      <w:pPr/>
      <w:r>
        <w:rPr>
          <w:i/>
        </w:rPr>
        <w:t xml:space="preserve">本报告由AI辅助生成，经人工审核</w:t>
      </w:r>
    </w:p>
    <w:p>
      <w:pPr/>
    </w:p>
    <w:sectPr>
      <w:pgSz w:w="11906" w:h="16838"/>
      <w:pgMar w:top="1440" w:right="1440" w:bottom="1440" w:left="1440"/>
    </w:sectPr>
  </w:body>
</w:document>
</file>

<file path=word/numbering.xml><?xml version="1.0" encoding="utf-8"?>
<w:numbering xmlns:w="http://schemas.openxmlformats.org/wordprocessingml/2006/main">
  <w:abstractNum w:abstractNumId="0">
    <w:nsid w:val="0001"/>
    <w:multiLevelType w:val="singleLevel"/>
    <w:lvl w:ilvl="0">
      <w:start w:val="1"/>
      <w:numFmt w:val="bullet"/>
      <w:lvlText w:val="•"/>
      <w:lvlJc w:val="left"/>
      <w:pPr>
        <w:ind w:left="720" w:hanging="360"/>
      </w:pPr>
    </w:lvl>
    <w:lvl w:ilvl="1">
      <w:start w:val="1"/>
      <w:numFmt w:val="bullet"/>
      <w:lvlText w:val="◦"/>
      <w:lvlJc w:val="left"/>
      <w:pPr>
        <w:ind w:left="1440" w:hanging="360"/>
      </w:pPr>
    </w:lvl>
  </w:abstractNum>
  <w:abstractNum w:abstractNumId="1">
    <w:nsid w:val="0002"/>
    <w:multiLevelType w:val="singleLevel"/>
    <w:lvl w:ilvl="0">
      <w:start w:val="1"/>
      <w:numFmt w:val="decimal"/>
      <w:lvlText w:val="%1."/>
      <w:lvlJc w:val="left"/>
      <w:pPr>
        <w:ind w:left="720" w:hanging="360"/>
      </w:pPr>
    </w:lvl>
    <w:lvl w:ilvl="1">
      <w:start w:val="1"/>
      <w:numFmt w:val="lowerLetter"/>
      <w:lvlText w:val="%2."/>
      <w:lvlJc w:val="left"/>
      <w:pPr>
        <w:ind w:left="144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4"/>
        <w:szCs w:val="24"/>
        <w:lang w:val="en-US"/>
      </w:rPr>
    </w:rPrDefault>
    <w:pPrDefault>
      <w:pPr>
        <w:spacing w:after="120" w:line="276" w:lineRule="auto"/>
      </w:pPr>
    </w:pPrDefault>
  </w:docDefaults>
  <w:style w:type="paragraph" w:default="1" w:styleId="Normal">
    <w:name w:val="Normal"/>
    <w:qFormat/>
    <w:rPr>
      <w:rFonts w:ascii="Calibri" w:hAnsi="Calibri" w:cs="Calibri"/>
      <w:sz w:val="24"/>
      <w:szCs w:val="24"/>
    </w:rPr>
  </w:style>
  <w:style w:type="paragraph" w:styleId="Heading1">
    <w:name w:val="heading 1"/>
    <w:basedOn w:val="Normal"/>
    <w:next w:val="Normal"/>
    <w:link w:val="Heading1Char"/>
    <w:uiPriority w:val="9"/>
    <w:qFormat/>
    <w:pPr>
      <w:keepNext/>
      <w:keepLines/>
      <w:spacing w:before="240" w:after="120"/>
      <w:outlineLvl w:val="0"/>
    </w:pPr>
    <w:rPr>
      <w:rFonts w:ascii="Calibri" w:hAnsi="Calibri" w:cs="Calibri"/>
      <w:b/>
      <w:bCs/>
      <w:sz w:val="42"/>
      <w:szCs w:val="42"/>
    </w:rPr>
  </w:style>
  <w:style w:type="paragraph" w:styleId="Heading2">
    <w:name w:val="heading 2"/>
    <w:basedOn w:val="Normal"/>
    <w:next w:val="Normal"/>
    <w:link w:val="Heading2Char"/>
    <w:uiPriority w:val="9"/>
    <w:qFormat/>
    <w:pPr>
      <w:keepNext/>
      <w:keepLines/>
      <w:spacing w:before="240" w:after="120"/>
      <w:outlineLvl w:val="1"/>
    </w:pPr>
    <w:rPr>
      <w:rFonts w:ascii="Calibri" w:hAnsi="Calibri" w:cs="Calibri"/>
      <w:b/>
      <w:bCs/>
      <w:sz w:val="40"/>
      <w:szCs w:val="40"/>
    </w:rPr>
  </w:style>
  <w:style w:type="paragraph" w:styleId="Heading3">
    <w:name w:val="heading 3"/>
    <w:basedOn w:val="Normal"/>
    <w:next w:val="Normal"/>
    <w:link w:val="Heading3Char"/>
    <w:uiPriority w:val="9"/>
    <w:qFormat/>
    <w:pPr>
      <w:keepNext/>
      <w:keepLines/>
      <w:spacing w:before="240" w:after="120"/>
      <w:outlineLvl w:val="2"/>
    </w:pPr>
    <w:rPr>
      <w:rFonts w:ascii="Calibri" w:hAnsi="Calibri" w:cs="Calibri"/>
      <w:b/>
      <w:bCs/>
      <w:sz w:val="34"/>
      <w:szCs w:val="34"/>
    </w:rPr>
  </w:style>
  <w:style w:type="paragraph" w:styleId="Heading4">
    <w:name w:val="heading 4"/>
    <w:basedOn w:val="Normal"/>
    <w:next w:val="Normal"/>
    <w:link w:val="Heading4Char"/>
    <w:uiPriority w:val="9"/>
    <w:qFormat/>
    <w:pPr>
      <w:keepNext/>
      <w:keepLines/>
      <w:spacing w:before="240" w:after="120"/>
      <w:outlineLvl w:val="3"/>
    </w:pPr>
    <w:rPr>
      <w:rFonts w:ascii="Calibri" w:hAnsi="Calibri" w:cs="Calibri"/>
      <w:b/>
      <w:bCs/>
      <w:sz w:val="32"/>
      <w:szCs w:val="32"/>
    </w:rPr>
  </w:style>
  <w:style w:type="paragraph" w:styleId="Heading5">
    <w:name w:val="heading 5"/>
    <w:basedOn w:val="Normal"/>
    <w:next w:val="Normal"/>
    <w:link w:val="Heading5Char"/>
    <w:uiPriority w:val="9"/>
    <w:qFormat/>
    <w:pPr>
      <w:keepNext/>
      <w:keepLines/>
      <w:spacing w:before="240" w:after="120"/>
      <w:outlineLvl w:val="4"/>
    </w:pPr>
    <w:rPr>
      <w:rFonts w:ascii="Calibri" w:hAnsi="Calibri" w:cs="Calibri"/>
      <w:b/>
      <w:bCs/>
      <w:sz w:val="28"/>
      <w:szCs w:val="28"/>
    </w:rPr>
  </w:style>
  <w:style w:type="paragraph" w:styleId="Heading6">
    <w:name w:val="heading 6"/>
    <w:basedOn w:val="Normal"/>
    <w:next w:val="Normal"/>
    <w:link w:val="Heading6Char"/>
    <w:uiPriority w:val="9"/>
    <w:qFormat/>
    <w:pPr>
      <w:keepNext/>
      <w:keepLines/>
      <w:spacing w:before="240" w:after="120"/>
      <w:outlineLvl w:val="5"/>
    </w:pPr>
    <w:rPr>
      <w:rFonts w:ascii="Calibri" w:hAnsi="Calibri" w:cs="Calibri"/>
      <w:b/>
      <w:bCs/>
      <w:sz w:val="26"/>
      <w:szCs w:val="26"/>
    </w:rPr>
  </w:style>
  <w:style w:type="character" w:styleId="CodeChar">
    <w:name w:val="Code"/>
    <w:rPr>
      <w:rFonts w:ascii="Courier New" w:hAnsi="Courier New" w:cs="Courier New"/>
      <w:b/>
      <w:sz w:val="24"/>
      <w:szCs w:val="24"/>
      <w:shd w:val="clear" w:color="auto" w:fill="F5F5F5"/>
    </w:rPr>
  </w:style>
  <w:style w:type="paragraph" w:styleId="CodeBlock">
    <w:name w:val="Code Block"/>
    <w:basedOn w:val="Normal"/>
    <w:rPr>
      <w:rFonts w:ascii="Courier New" w:hAnsi="Courier New" w:cs="Courier New"/>
      <w:sz w:val="22"/>
      <w:szCs w:val="22"/>
      <w:color w:val="2F3337"/>
    </w:rPr>
    <w:pPr>
      <w:shd w:val="clear" w:color="auto" w:fill="F8F8F8"/>
      <w:spacing w:before="120" w:after="120" w:line="276" w:lineRule="auto"/>
      <w:ind w:left="240" w:right="240"/>
      <w:contextualSpacing/>
      <w:bdr>
        <w:top w:val="single" w:sz="4" w:space="1" w:color="E1E4E8"/>
        <w:left w:val="single" w:sz="4" w:space="1" w:color="E1E4E8"/>
        <w:bottom w:val="single" w:sz="4" w:space="1" w:color="E1E4E8"/>
        <w:right w:val="single" w:sz="4" w:space="1" w:color="E1E4E8"/>
      </w:bdr>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