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Calibri" w:hAnsi="Calibri" w:eastAsia="Microsoft YaHei"/>
          <w:b/>
          <w:color w:val="DA7554"/>
          <w:sz w:val="19"/>
        </w:rPr>
        <w:t>PARTNER PROJECT BRIEF</w:t>
      </w:r>
    </w:p>
    <w:p>
      <w:pPr>
        <w:pStyle w:val="Title"/>
        <w:spacing w:after="100"/>
        <w:jc w:val="center"/>
      </w:pPr>
      <w:r>
        <w:rPr>
          <w:rFonts w:ascii="Calibri" w:hAnsi="Calibri" w:eastAsia="Microsoft YaHei"/>
          <w:b/>
          <w:color w:val="1F2924"/>
          <w:sz w:val="60"/>
        </w:rPr>
        <w:t>猫格 MIBT 项目计划书</w:t>
      </w:r>
    </w:p>
    <w:p>
      <w:pPr>
        <w:pStyle w:val="Subtitle"/>
        <w:spacing w:after="360"/>
        <w:jc w:val="center"/>
      </w:pPr>
      <w:r>
        <w:rPr>
          <w:rFonts w:ascii="Calibri" w:hAnsi="Calibri" w:eastAsia="Microsoft YaHei"/>
          <w:b w:val="0"/>
          <w:color w:val="2F6F64"/>
          <w:sz w:val="28"/>
        </w:rPr>
        <w:t>从趣味测试到可持续宠物内容与商家合作产品</w:t>
      </w:r>
    </w:p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110484"/>
            <wp:docPr id="1" name="Picture 1" descr="猫格 MIBT 品牌视觉：猫咪性格测试与四种行为标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-12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hAnsi="Calibri" w:eastAsia="Microsoft YaHei"/>
          <w:color w:val="1F2924"/>
          <w:sz w:val="22"/>
        </w:rPr>
        <w:t>合伙人内部讨论版  |  Version 1.0  |  2026 年 7 月</w:t>
      </w:r>
    </w:p>
    <w:p>
      <w:pPr>
        <w:jc w:val="center"/>
      </w:pPr>
      <w:r>
        <w:rPr>
          <w:rFonts w:ascii="Calibri" w:hAnsi="Calibri" w:eastAsia="Microsoft YaHei"/>
          <w:i/>
          <w:color w:val="6D746F"/>
          <w:sz w:val="20"/>
        </w:rPr>
        <w:t>当前阶段：产品原型完成，准备进入真实用户验证与首个商家试点准备</w:t>
      </w:r>
    </w:p>
    <w:p>
      <w:pPr>
        <w:pageBreakBefore/>
        <w:spacing w:after="40"/>
        <w:jc w:val="left"/>
      </w:pPr>
      <w:r>
        <w:rPr>
          <w:rFonts w:ascii="Calibri" w:hAnsi="Calibri" w:eastAsia="Microsoft YaHei"/>
          <w:b/>
          <w:color w:val="DA7554"/>
          <w:sz w:val="19"/>
        </w:rPr>
        <w:t>SECTION 01</w:t>
      </w:r>
    </w:p>
    <w:p>
      <w:pPr>
        <w:pStyle w:val="Heading1"/>
        <w:spacing w:before="0"/>
      </w:pPr>
      <w:r>
        <w:rPr>
          <w:rFonts w:ascii="Calibri" w:hAnsi="Calibri" w:eastAsia="Microsoft YaHei"/>
          <w:b/>
          <w:color w:val="2F6F64"/>
          <w:sz w:val="40"/>
        </w:rPr>
        <w:t>一页结论</w:t>
      </w:r>
    </w:p>
    <w:p>
      <w:pPr>
        <w:spacing w:after="280" w:line="300" w:lineRule="auto"/>
      </w:pPr>
      <w:r>
        <w:rPr>
          <w:rFonts w:ascii="Calibri" w:hAnsi="Calibri" w:eastAsia="Microsoft YaHei"/>
          <w:color w:val="6D746F"/>
          <w:sz w:val="24"/>
        </w:rPr>
        <w:t>这份计划书用于帮助合伙人快速判断：项目现在在哪里、为什么值得继续、未来 90 天做什么，以及何时开始商家合作。</w:t>
      </w:r>
    </w:p>
    <w:p>
      <w:pPr>
        <w:spacing w:before="120" w:after="240" w:line="290" w:lineRule="auto"/>
        <w:ind w:left="230" w:right="173"/>
        <w:shd w:fill="F7F5EF"/>
        <w:pBdr>
          <w:left w:val="single" w:sz="18" w:space="8" w:color="2F6F64"/>
        </w:pBdr>
      </w:pPr>
      <w:r>
        <w:rPr>
          <w:rFonts w:ascii="Calibri" w:hAnsi="Calibri" w:eastAsia="Microsoft YaHei"/>
          <w:b/>
          <w:color w:val="2F6F64"/>
          <w:sz w:val="21"/>
        </w:rPr>
        <w:t xml:space="preserve">核心建议  </w:t>
      </w:r>
      <w:r>
        <w:rPr>
          <w:rFonts w:ascii="Calibri" w:hAnsi="Calibri" w:eastAsia="Microsoft YaHei"/>
          <w:color w:val="1F2924"/>
          <w:sz w:val="21"/>
        </w:rPr>
        <w:t>未来 90 天优先验证产品完成率、结果认可度和分享带来的新增用户；商业化只做低成本准备，不急于开发支付、会员或复杂商家后台。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EDED5"/>
          <w:left w:val="single" w:sz="4" w:space="0" w:color="DEDED5"/>
          <w:bottom w:val="single" w:sz="4" w:space="0" w:color="DEDED5"/>
          <w:right w:val="single" w:sz="4" w:space="0" w:color="DEDED5"/>
          <w:insideH w:val="single" w:sz="4" w:space="0" w:color="DEDED5"/>
          <w:insideV w:val="single" w:sz="4" w:space="0" w:color="DEDED5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shd w:fill="EAF1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2F6F64"/>
                <w:sz w:val="36"/>
              </w:rPr>
              <w:t>16 / 32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6D746F"/>
                <w:sz w:val="17"/>
              </w:rPr>
              <w:t>快速版 / 完整版题数</w:t>
            </w:r>
          </w:p>
        </w:tc>
        <w:tc>
          <w:tcPr>
            <w:tcW w:type="dxa" w:w="2340"/>
            <w:shd w:fill="F7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2F6F64"/>
                <w:sz w:val="36"/>
              </w:rPr>
              <w:t>16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6D746F"/>
                <w:sz w:val="17"/>
              </w:rPr>
              <w:t>独立猫格类型</w:t>
            </w:r>
          </w:p>
        </w:tc>
        <w:tc>
          <w:tcPr>
            <w:tcW w:type="dxa" w:w="2340"/>
            <w:shd w:fill="EAF1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2F6F64"/>
                <w:sz w:val="36"/>
              </w:rPr>
              <w:t>21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6D746F"/>
                <w:sz w:val="17"/>
              </w:rPr>
              <w:t>当前静态页面</w:t>
            </w:r>
          </w:p>
        </w:tc>
        <w:tc>
          <w:tcPr>
            <w:tcW w:type="dxa" w:w="2340"/>
            <w:shd w:fill="F7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2F6F64"/>
                <w:sz w:val="36"/>
              </w:rPr>
              <w:t>6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6D746F"/>
                <w:sz w:val="17"/>
              </w:rPr>
              <w:t>核心自动化测试</w:t>
            </w:r>
          </w:p>
        </w:tc>
      </w:tr>
    </w:tbl>
    <w:p>
      <w:pPr>
        <w:spacing w:after="40"/>
      </w:pPr>
    </w:p>
    <w:p>
      <w:pPr>
        <w:pStyle w:val="Heading2"/>
      </w:pPr>
      <w:r>
        <w:t>项目已经具备什么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icrosoft YaHei"/>
          <w:color w:val="1F2924"/>
          <w:sz w:val="22"/>
        </w:rPr>
        <w:t>完整测试闭环：建档、答题、校准、结果、历史记录和断点续答。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icrosoft YaHei"/>
          <w:color w:val="1F2924"/>
          <w:sz w:val="22"/>
        </w:rPr>
        <w:t>传播闭环：结果海报、二维码、永久分享链接、分享落地页和 16 个类型详情页。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icrosoft YaHei"/>
          <w:color w:val="1F2924"/>
          <w:sz w:val="22"/>
        </w:rPr>
        <w:t>优化闭环：事件埋点、结果准确度反馈、可配置线上统计以及计分测试。</w:t>
      </w:r>
    </w:p>
    <w:p>
      <w:pPr>
        <w:pStyle w:val="Heading2"/>
      </w:pPr>
      <w:r>
        <w:t>当前最重要的四个共同决策</w:t>
      </w:r>
    </w:p>
    <w:p>
      <w:pPr>
        <w:numPr>
          <w:ilvl w:val="0"/>
          <w:numId w:val="12"/>
        </w:numPr>
        <w:spacing w:before="0" w:after="100" w:line="290" w:lineRule="auto"/>
      </w:pPr>
      <w:r>
        <w:rPr>
          <w:rFonts w:ascii="Calibri" w:hAnsi="Calibri" w:eastAsia="Microsoft YaHei"/>
          <w:color w:val="1F2924"/>
          <w:sz w:val="22"/>
        </w:rPr>
        <w:t>是否一致同意未来 90 天仍以产品和增长验证为主。</w:t>
      </w:r>
    </w:p>
    <w:p>
      <w:pPr>
        <w:numPr>
          <w:ilvl w:val="0"/>
          <w:numId w:val="12"/>
        </w:numPr>
        <w:spacing w:before="0" w:after="100" w:line="290" w:lineRule="auto"/>
      </w:pPr>
      <w:r>
        <w:rPr>
          <w:rFonts w:ascii="Calibri" w:hAnsi="Calibri" w:eastAsia="Microsoft YaHei"/>
          <w:color w:val="1F2924"/>
          <w:sz w:val="22"/>
        </w:rPr>
        <w:t>谁分别负责产品技术、内容运营、商务合作和日常项目管理。</w:t>
      </w:r>
    </w:p>
    <w:p>
      <w:pPr>
        <w:numPr>
          <w:ilvl w:val="0"/>
          <w:numId w:val="12"/>
        </w:numPr>
        <w:spacing w:before="0" w:after="100" w:line="290" w:lineRule="auto"/>
      </w:pPr>
      <w:r>
        <w:rPr>
          <w:rFonts w:ascii="Calibri" w:hAnsi="Calibri" w:eastAsia="Microsoft YaHei"/>
          <w:color w:val="1F2924"/>
          <w:sz w:val="22"/>
        </w:rPr>
        <w:t>第一批真实用户从哪里获得，以及用什么指标判断继续或调整。</w:t>
      </w:r>
    </w:p>
    <w:p>
      <w:pPr>
        <w:numPr>
          <w:ilvl w:val="0"/>
          <w:numId w:val="12"/>
        </w:numPr>
        <w:spacing w:before="0" w:after="100" w:line="290" w:lineRule="auto"/>
      </w:pPr>
      <w:r>
        <w:rPr>
          <w:rFonts w:ascii="Calibri" w:hAnsi="Calibri" w:eastAsia="Microsoft YaHei"/>
          <w:color w:val="1F2924"/>
          <w:sz w:val="22"/>
        </w:rPr>
        <w:t>首个商家试点优先选择用品品牌、猫咖、宠物店还是内容账号。</w:t>
      </w:r>
    </w:p>
    <w:p>
      <w:pPr>
        <w:pageBreakBefore/>
        <w:spacing w:after="40"/>
        <w:jc w:val="left"/>
      </w:pPr>
      <w:r>
        <w:rPr>
          <w:rFonts w:ascii="Calibri" w:hAnsi="Calibri" w:eastAsia="Microsoft YaHei"/>
          <w:b/>
          <w:color w:val="DA7554"/>
          <w:sz w:val="19"/>
        </w:rPr>
        <w:t>SECTION 02</w:t>
      </w:r>
    </w:p>
    <w:p>
      <w:pPr>
        <w:pStyle w:val="Heading1"/>
        <w:spacing w:before="0"/>
      </w:pPr>
      <w:r>
        <w:rPr>
          <w:rFonts w:ascii="Calibri" w:hAnsi="Calibri" w:eastAsia="Microsoft YaHei"/>
          <w:b/>
          <w:color w:val="2F6F64"/>
          <w:sz w:val="40"/>
        </w:rPr>
        <w:t>产品与用户价值</w:t>
      </w:r>
    </w:p>
    <w:p>
      <w:pPr>
        <w:spacing w:after="280" w:line="300" w:lineRule="auto"/>
      </w:pPr>
      <w:r>
        <w:rPr>
          <w:rFonts w:ascii="Calibri" w:hAnsi="Calibri" w:eastAsia="Microsoft YaHei"/>
          <w:color w:val="6D746F"/>
          <w:sz w:val="24"/>
        </w:rPr>
        <w:t>猫格不是严肃诊断工具，而是一种更容易开始、更愿意分享的猫咪行为观察产品。</w:t>
      </w:r>
    </w:p>
    <w:p>
      <w:pPr>
        <w:pStyle w:val="Heading2"/>
      </w:pPr>
      <w:r>
        <w:t>用户问题</w:t>
      </w:r>
    </w:p>
    <w:p>
      <w:pPr>
        <w:spacing w:after="160"/>
      </w:pPr>
      <w:r>
        <w:rPr>
          <w:rFonts w:ascii="Calibri" w:hAnsi="Calibri" w:eastAsia="Microsoft YaHei"/>
          <w:color w:val="1F2924"/>
          <w:sz w:val="22"/>
        </w:rPr>
        <w:t>很多主人能够感受到猫咪“有自己的性格”，但缺少一套简单、结构化且有趣的观察方式。现有内容往往是零散知识，或者只提供一个娱乐标签，难以同时满足理解、记录和分享。</w:t>
      </w:r>
    </w:p>
    <w:p>
      <w:pPr>
        <w:pStyle w:val="Heading2"/>
      </w:pPr>
      <w:r>
        <w:t>产品回答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icrosoft YaHei"/>
          <w:color w:val="1F2924"/>
          <w:sz w:val="22"/>
        </w:rPr>
        <w:t>用日常场景题降低理解门槛，不要求用户掌握专业术语。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icrosoft YaHei"/>
          <w:color w:val="1F2924"/>
          <w:sz w:val="22"/>
        </w:rPr>
        <w:t>用四维比例避免只给出一个模糊标签。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icrosoft YaHei"/>
          <w:color w:val="1F2924"/>
          <w:sz w:val="22"/>
        </w:rPr>
        <w:t>用 16 种完整画像把结果转化为可理解的行为和相处建议。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icrosoft YaHei"/>
          <w:color w:val="1F2924"/>
          <w:sz w:val="22"/>
        </w:rPr>
        <w:t>用头像海报和分享页面把一次测试变成可传播的内容。</w:t>
      </w:r>
    </w:p>
    <w:p>
      <w:pPr>
        <w:pStyle w:val="Heading2"/>
      </w:pPr>
      <w:r>
        <w:t>核心用户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icrosoft YaHei"/>
          <w:color w:val="1F2924"/>
          <w:sz w:val="22"/>
        </w:rPr>
        <w:t>第一次养猫、希望更懂猫咪的新手主人。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icrosoft YaHei"/>
          <w:color w:val="1F2924"/>
          <w:sz w:val="22"/>
        </w:rPr>
        <w:t>喜欢记录和分享猫咪内容的年轻养宠用户。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icrosoft YaHei"/>
          <w:color w:val="1F2924"/>
          <w:sz w:val="22"/>
        </w:rPr>
        <w:t>需要理解不同猫咪相处节奏的多猫家庭。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icrosoft YaHei"/>
          <w:color w:val="1F2924"/>
          <w:sz w:val="22"/>
        </w:rPr>
        <w:t>未来希望通过趣味互动连接用户的品牌、猫咖、宠物店和领养机构。</w:t>
      </w:r>
    </w:p>
    <w:p>
      <w:pPr>
        <w:pStyle w:val="Heading2"/>
        <w:pageBreakBefore/>
      </w:pPr>
      <w:r>
        <w:t>用户旅程</w:t>
      </w:r>
    </w:p>
    <w:p>
      <w:pPr>
        <w:numPr>
          <w:ilvl w:val="0"/>
          <w:numId w:val="13"/>
        </w:numPr>
        <w:spacing w:before="0" w:after="100" w:line="290" w:lineRule="auto"/>
      </w:pPr>
      <w:r>
        <w:rPr>
          <w:rFonts w:ascii="Calibri" w:hAnsi="Calibri" w:eastAsia="Microsoft YaHei"/>
          <w:color w:val="1F2924"/>
          <w:sz w:val="22"/>
        </w:rPr>
        <w:t>进入首页并选择 16 题快速版或 32 题完整版。</w:t>
      </w:r>
    </w:p>
    <w:p>
      <w:pPr>
        <w:numPr>
          <w:ilvl w:val="0"/>
          <w:numId w:val="13"/>
        </w:numPr>
        <w:spacing w:before="0" w:after="100" w:line="290" w:lineRule="auto"/>
      </w:pPr>
      <w:r>
        <w:rPr>
          <w:rFonts w:ascii="Calibri" w:hAnsi="Calibri" w:eastAsia="Microsoft YaHei"/>
          <w:color w:val="1F2924"/>
          <w:sz w:val="22"/>
        </w:rPr>
        <w:t>建立猫咪档案，填写名字、年龄、品种和头像。</w:t>
      </w:r>
    </w:p>
    <w:p>
      <w:pPr>
        <w:numPr>
          <w:ilvl w:val="0"/>
          <w:numId w:val="13"/>
        </w:numPr>
        <w:spacing w:before="0" w:after="100" w:line="290" w:lineRule="auto"/>
      </w:pPr>
      <w:r>
        <w:rPr>
          <w:rFonts w:ascii="Calibri" w:hAnsi="Calibri" w:eastAsia="Microsoft YaHei"/>
          <w:color w:val="1F2924"/>
          <w:sz w:val="22"/>
        </w:rPr>
        <w:t>根据最近三个月最常见的行为完成观察题。</w:t>
      </w:r>
    </w:p>
    <w:p>
      <w:pPr>
        <w:numPr>
          <w:ilvl w:val="0"/>
          <w:numId w:val="13"/>
        </w:numPr>
        <w:spacing w:before="0" w:after="100" w:line="290" w:lineRule="auto"/>
      </w:pPr>
      <w:r>
        <w:rPr>
          <w:rFonts w:ascii="Calibri" w:hAnsi="Calibri" w:eastAsia="Microsoft YaHei"/>
          <w:color w:val="1F2924"/>
          <w:sz w:val="22"/>
        </w:rPr>
        <w:t>获得四维比例、猫格类型和详细相处建议。</w:t>
      </w:r>
    </w:p>
    <w:p>
      <w:pPr>
        <w:numPr>
          <w:ilvl w:val="0"/>
          <w:numId w:val="13"/>
        </w:numPr>
        <w:spacing w:before="0" w:after="100" w:line="290" w:lineRule="auto"/>
      </w:pPr>
      <w:r>
        <w:rPr>
          <w:rFonts w:ascii="Calibri" w:hAnsi="Calibri" w:eastAsia="Microsoft YaHei"/>
          <w:color w:val="1F2924"/>
          <w:sz w:val="22"/>
        </w:rPr>
        <w:t>下载海报或分享结果链接，朋友打开后开始自己的测试。</w:t>
      </w:r>
    </w:p>
    <w:p>
      <w:pPr>
        <w:numPr>
          <w:ilvl w:val="0"/>
          <w:numId w:val="13"/>
        </w:numPr>
        <w:spacing w:before="0" w:after="100" w:line="290" w:lineRule="auto"/>
      </w:pPr>
      <w:r>
        <w:rPr>
          <w:rFonts w:ascii="Calibri" w:hAnsi="Calibri" w:eastAsia="Microsoft YaHei"/>
          <w:color w:val="1F2924"/>
          <w:sz w:val="22"/>
        </w:rPr>
        <w:t>通过结果反馈帮助团队持续优化题目和内容。</w:t>
      </w:r>
    </w:p>
    <w:p>
      <w:pPr>
        <w:spacing w:before="120" w:after="240" w:line="290" w:lineRule="auto"/>
        <w:ind w:left="230" w:right="173"/>
        <w:shd w:fill="EAF1EF"/>
        <w:pBdr>
          <w:left w:val="single" w:sz="18" w:space="8" w:color="2F6F64"/>
        </w:pBdr>
      </w:pPr>
      <w:r>
        <w:rPr>
          <w:rFonts w:ascii="Calibri" w:hAnsi="Calibri" w:eastAsia="Microsoft YaHei"/>
          <w:b/>
          <w:color w:val="2F6F64"/>
          <w:sz w:val="21"/>
        </w:rPr>
        <w:t xml:space="preserve">体验成功标准  </w:t>
      </w:r>
      <w:r>
        <w:rPr>
          <w:rFonts w:ascii="Calibri" w:hAnsi="Calibri" w:eastAsia="Microsoft YaHei"/>
          <w:color w:val="1F2924"/>
          <w:sz w:val="21"/>
        </w:rPr>
        <w:t>用户能够顺利完成测试、理解结果、愿意分享，并知道这是一份趣味行为观察而非专业诊断。</w:t>
      </w:r>
    </w:p>
    <w:p>
      <w:pPr>
        <w:pageBreakBefore/>
        <w:spacing w:after="40"/>
        <w:jc w:val="left"/>
      </w:pPr>
      <w:r>
        <w:rPr>
          <w:rFonts w:ascii="Calibri" w:hAnsi="Calibri" w:eastAsia="Microsoft YaHei"/>
          <w:b/>
          <w:color w:val="DA7554"/>
          <w:sz w:val="19"/>
        </w:rPr>
        <w:t>SECTION 03</w:t>
      </w:r>
    </w:p>
    <w:p>
      <w:pPr>
        <w:pStyle w:val="Heading1"/>
        <w:spacing w:before="0"/>
      </w:pPr>
      <w:r>
        <w:rPr>
          <w:rFonts w:ascii="Calibri" w:hAnsi="Calibri" w:eastAsia="Microsoft YaHei"/>
          <w:b/>
          <w:color w:val="2F6F64"/>
          <w:sz w:val="40"/>
        </w:rPr>
        <w:t>当前版本与产品边界</w:t>
      </w:r>
    </w:p>
    <w:p>
      <w:pPr>
        <w:spacing w:after="280" w:line="300" w:lineRule="auto"/>
      </w:pPr>
      <w:r>
        <w:rPr>
          <w:rFonts w:ascii="Calibri" w:hAnsi="Calibri" w:eastAsia="Microsoft YaHei"/>
          <w:color w:val="6D746F"/>
          <w:sz w:val="24"/>
        </w:rPr>
        <w:t>项目已经从单页测试原型升级为可公开体验的静态产品，但还没有账号、后端和商业交易能力。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EDED5"/>
          <w:left w:val="single" w:sz="6" w:space="0" w:color="DEDED5"/>
          <w:bottom w:val="single" w:sz="6" w:space="0" w:color="DEDED5"/>
          <w:right w:val="single" w:sz="6" w:space="0" w:color="DEDED5"/>
          <w:insideH w:val="single" w:sz="6" w:space="0" w:color="DEDED5"/>
          <w:insideV w:val="single" w:sz="6" w:space="0" w:color="DEDED5"/>
        </w:tblBorders>
      </w:tblPr>
      <w:tblGrid>
        <w:gridCol w:w="1400"/>
        <w:gridCol w:w="4050"/>
        <w:gridCol w:w="3910"/>
      </w:tblGrid>
      <w:tr>
        <w:trPr>
          <w:tblHeader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6F64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6F64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已经支持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6F64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当前边界</w:t>
            </w:r>
          </w:p>
        </w:tc>
      </w:tr>
      <w:tr>
        <w:tc>
          <w:tcPr>
            <w:tcW w:type="dxa" w:w="140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2924"/>
                <w:sz w:val="18"/>
              </w:rPr>
              <w:t>测试</w:t>
            </w:r>
          </w:p>
        </w:tc>
        <w:tc>
          <w:tcPr>
            <w:tcW w:type="dxa" w:w="405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快速版、完整版、五档选择、返回修改、校准题</w:t>
            </w:r>
          </w:p>
        </w:tc>
        <w:tc>
          <w:tcPr>
            <w:tcW w:type="dxa" w:w="391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仍属于趣味观察，不代表专业诊断</w:t>
            </w:r>
          </w:p>
        </w:tc>
      </w:tr>
      <w:tr>
        <w:tc>
          <w:tcPr>
            <w:tcW w:type="dxa" w:w="1400"/>
            <w:shd w:fill="F7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2924"/>
                <w:sz w:val="18"/>
              </w:rPr>
              <w:t>档案</w:t>
            </w:r>
          </w:p>
        </w:tc>
        <w:tc>
          <w:tcPr>
            <w:tcW w:type="dxa" w:w="4050"/>
            <w:shd w:fill="F7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名字、年龄、品种、头像、本地保存</w:t>
            </w:r>
          </w:p>
        </w:tc>
        <w:tc>
          <w:tcPr>
            <w:tcW w:type="dxa" w:w="3910"/>
            <w:shd w:fill="F7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没有账号和跨设备同步</w:t>
            </w:r>
          </w:p>
        </w:tc>
      </w:tr>
      <w:tr>
        <w:tc>
          <w:tcPr>
            <w:tcW w:type="dxa" w:w="140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2924"/>
                <w:sz w:val="18"/>
              </w:rPr>
              <w:t>结果</w:t>
            </w:r>
          </w:p>
        </w:tc>
        <w:tc>
          <w:tcPr>
            <w:tcW w:type="dxa" w:w="405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16 种画像、四维比例、优势、注意事项、相处建议</w:t>
            </w:r>
          </w:p>
        </w:tc>
        <w:tc>
          <w:tcPr>
            <w:tcW w:type="dxa" w:w="391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内容尚未经过大样本验证</w:t>
            </w:r>
          </w:p>
        </w:tc>
      </w:tr>
      <w:tr>
        <w:tc>
          <w:tcPr>
            <w:tcW w:type="dxa" w:w="1400"/>
            <w:shd w:fill="F7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2924"/>
                <w:sz w:val="18"/>
              </w:rPr>
              <w:t>传播</w:t>
            </w:r>
          </w:p>
        </w:tc>
        <w:tc>
          <w:tcPr>
            <w:tcW w:type="dxa" w:w="4050"/>
            <w:shd w:fill="F7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海报、二维码、永久结果链接、分享落地页</w:t>
            </w:r>
          </w:p>
        </w:tc>
        <w:tc>
          <w:tcPr>
            <w:tcW w:type="dxa" w:w="3910"/>
            <w:shd w:fill="F7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分享链接会包含猫咪名字和分数</w:t>
            </w:r>
          </w:p>
        </w:tc>
      </w:tr>
      <w:tr>
        <w:tc>
          <w:tcPr>
            <w:tcW w:type="dxa" w:w="140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2924"/>
                <w:sz w:val="18"/>
              </w:rPr>
              <w:t>内容</w:t>
            </w:r>
          </w:p>
        </w:tc>
        <w:tc>
          <w:tcPr>
            <w:tcW w:type="dxa" w:w="405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类型索引和 16 个独立详情页</w:t>
            </w:r>
          </w:p>
        </w:tc>
        <w:tc>
          <w:tcPr>
            <w:tcW w:type="dxa" w:w="391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SEO 基础设施仍需补齐</w:t>
            </w:r>
          </w:p>
        </w:tc>
      </w:tr>
      <w:tr>
        <w:tc>
          <w:tcPr>
            <w:tcW w:type="dxa" w:w="1400"/>
            <w:shd w:fill="F7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2924"/>
                <w:sz w:val="18"/>
              </w:rPr>
              <w:t>数据</w:t>
            </w:r>
          </w:p>
        </w:tc>
        <w:tc>
          <w:tcPr>
            <w:tcW w:type="dxa" w:w="4050"/>
            <w:shd w:fill="F7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本地事件、dataLayer、Umami 兼容接入点、反馈</w:t>
            </w:r>
          </w:p>
        </w:tc>
        <w:tc>
          <w:tcPr>
            <w:tcW w:type="dxa" w:w="3910"/>
            <w:shd w:fill="F7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未配置真实统计服务时没有线上看板</w:t>
            </w:r>
          </w:p>
        </w:tc>
      </w:tr>
      <w:tr>
        <w:tc>
          <w:tcPr>
            <w:tcW w:type="dxa" w:w="140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2924"/>
                <w:sz w:val="18"/>
              </w:rPr>
              <w:t>技术</w:t>
            </w:r>
          </w:p>
        </w:tc>
        <w:tc>
          <w:tcPr>
            <w:tcW w:type="dxa" w:w="405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静态导出、阿里云 ESA、自动测试和生产构建</w:t>
            </w:r>
          </w:p>
        </w:tc>
        <w:tc>
          <w:tcPr>
            <w:tcW w:type="dxa" w:w="391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没有服务端 API、数据库和对象存储</w:t>
            </w:r>
          </w:p>
        </w:tc>
      </w:tr>
    </w:tbl>
    <w:p>
      <w:pPr>
        <w:spacing w:after="40"/>
      </w:pPr>
    </w:p>
    <w:p>
      <w:pPr>
        <w:spacing w:before="120" w:after="240" w:line="290" w:lineRule="auto"/>
        <w:ind w:left="230" w:right="173"/>
        <w:shd w:fill="F8ECE8"/>
        <w:pBdr>
          <w:left w:val="single" w:sz="18" w:space="8" w:color="DA7554"/>
        </w:pBdr>
      </w:pPr>
      <w:r>
        <w:rPr>
          <w:rFonts w:ascii="Calibri" w:hAnsi="Calibri" w:eastAsia="Microsoft YaHei"/>
          <w:b/>
          <w:color w:val="2F6F64"/>
          <w:sz w:val="21"/>
        </w:rPr>
        <w:t xml:space="preserve">必须保持的边界  </w:t>
      </w:r>
      <w:r>
        <w:rPr>
          <w:rFonts w:ascii="Calibri" w:hAnsi="Calibri" w:eastAsia="Microsoft YaHei"/>
          <w:color w:val="1F2924"/>
          <w:sz w:val="21"/>
        </w:rPr>
        <w:t>不宣称医疗、疾病或行为诊断；不因未来商家付费改变测试结果；不出售头像、完整答案或可识别用户的数据。</w:t>
      </w:r>
    </w:p>
    <w:p>
      <w:pPr>
        <w:pStyle w:val="Heading2"/>
      </w:pPr>
      <w:r>
        <w:t>为什么现在不急着做后端</w:t>
      </w:r>
    </w:p>
    <w:p>
      <w:pPr>
        <w:spacing w:after="160"/>
      </w:pPr>
      <w:r>
        <w:rPr>
          <w:rFonts w:ascii="Calibri" w:hAnsi="Calibri" w:eastAsia="Microsoft YaHei"/>
          <w:color w:val="1F2924"/>
          <w:sz w:val="22"/>
        </w:rPr>
        <w:t>当前核心假设仍是“用户是否愿意完成、认可并分享”。这些问题可以在现有静态架构下低成本验证。只有出现账号同步、商家自助配置、优惠券核销、支付或大量活动管理需求时，后端投入才有明确回报。</w:t>
      </w:r>
    </w:p>
    <w:p>
      <w:pPr>
        <w:pageBreakBefore/>
        <w:spacing w:after="40"/>
        <w:jc w:val="left"/>
      </w:pPr>
      <w:r>
        <w:rPr>
          <w:rFonts w:ascii="Calibri" w:hAnsi="Calibri" w:eastAsia="Microsoft YaHei"/>
          <w:b/>
          <w:color w:val="DA7554"/>
          <w:sz w:val="19"/>
        </w:rPr>
        <w:t>SECTION 04</w:t>
      </w:r>
    </w:p>
    <w:p>
      <w:pPr>
        <w:pStyle w:val="Heading1"/>
        <w:spacing w:before="0"/>
      </w:pPr>
      <w:r>
        <w:rPr>
          <w:rFonts w:ascii="Calibri" w:hAnsi="Calibri" w:eastAsia="Microsoft YaHei"/>
          <w:b/>
          <w:color w:val="2F6F64"/>
          <w:sz w:val="40"/>
        </w:rPr>
        <w:t>产品策略与差异化</w:t>
      </w:r>
    </w:p>
    <w:p>
      <w:pPr>
        <w:spacing w:after="280" w:line="300" w:lineRule="auto"/>
      </w:pPr>
      <w:r>
        <w:rPr>
          <w:rFonts w:ascii="Calibri" w:hAnsi="Calibri" w:eastAsia="Microsoft YaHei"/>
          <w:color w:val="6D746F"/>
          <w:sz w:val="24"/>
        </w:rPr>
        <w:t>猫格真正需要建立的不是“又一个 MBTI 测试”，而是行为观察、内容传播和合作场景之间的连接能力。</w:t>
      </w:r>
    </w:p>
    <w:p>
      <w:pPr>
        <w:pStyle w:val="Heading2"/>
      </w:pPr>
      <w:r>
        <w:t>战略切入口</w:t>
      </w:r>
    </w:p>
    <w:p>
      <w:pPr>
        <w:spacing w:before="120" w:after="240" w:line="290" w:lineRule="auto"/>
        <w:ind w:left="230" w:right="173"/>
        <w:shd w:fill="F7F5EF"/>
        <w:pBdr>
          <w:left w:val="single" w:sz="18" w:space="8" w:color="2F6F64"/>
        </w:pBdr>
      </w:pPr>
      <w:r>
        <w:rPr>
          <w:rFonts w:ascii="Calibri" w:hAnsi="Calibri" w:eastAsia="Microsoft YaHei"/>
          <w:b/>
          <w:color w:val="2F6F64"/>
          <w:sz w:val="21"/>
        </w:rPr>
        <w:t xml:space="preserve">一句话定位  </w:t>
      </w:r>
      <w:r>
        <w:rPr>
          <w:rFonts w:ascii="Calibri" w:hAnsi="Calibri" w:eastAsia="Microsoft YaHei"/>
          <w:color w:val="1F2924"/>
          <w:sz w:val="21"/>
        </w:rPr>
        <w:t>用有趣但克制的方式，把猫咪日常行为变成主人看得懂、愿意分享、能改善相处的个性化内容。</w:t>
      </w:r>
    </w:p>
    <w:p>
      <w:pPr>
        <w:pStyle w:val="Heading2"/>
      </w:pPr>
      <w:r>
        <w:t>四层产品价值</w:t>
      </w:r>
    </w:p>
    <w:p>
      <w:pPr>
        <w:numPr>
          <w:ilvl w:val="0"/>
          <w:numId w:val="14"/>
        </w:numPr>
        <w:spacing w:before="0" w:after="100" w:line="290" w:lineRule="auto"/>
      </w:pPr>
      <w:r>
        <w:rPr>
          <w:rFonts w:ascii="Calibri" w:hAnsi="Calibri" w:eastAsia="Microsoft YaHei"/>
          <w:color w:val="1F2924"/>
          <w:sz w:val="22"/>
        </w:rPr>
        <w:t>体验层：题目短、场景真实、移动端顺畅，用户愿意完成。</w:t>
      </w:r>
    </w:p>
    <w:p>
      <w:pPr>
        <w:numPr>
          <w:ilvl w:val="0"/>
          <w:numId w:val="14"/>
        </w:numPr>
        <w:spacing w:before="0" w:after="100" w:line="290" w:lineRule="auto"/>
      </w:pPr>
      <w:r>
        <w:rPr>
          <w:rFonts w:ascii="Calibri" w:hAnsi="Calibri" w:eastAsia="Microsoft YaHei"/>
          <w:color w:val="1F2924"/>
          <w:sz w:val="22"/>
        </w:rPr>
        <w:t>内容层：每种结果不只是名称，还有行为解释和相处建议。</w:t>
      </w:r>
    </w:p>
    <w:p>
      <w:pPr>
        <w:numPr>
          <w:ilvl w:val="0"/>
          <w:numId w:val="14"/>
        </w:numPr>
        <w:spacing w:before="0" w:after="100" w:line="290" w:lineRule="auto"/>
      </w:pPr>
      <w:r>
        <w:rPr>
          <w:rFonts w:ascii="Calibri" w:hAnsi="Calibri" w:eastAsia="Microsoft YaHei"/>
          <w:color w:val="1F2924"/>
          <w:sz w:val="22"/>
        </w:rPr>
        <w:t>传播层：每只猫都有独立海报和结果链接，形成自然分享。</w:t>
      </w:r>
    </w:p>
    <w:p>
      <w:pPr>
        <w:numPr>
          <w:ilvl w:val="0"/>
          <w:numId w:val="14"/>
        </w:numPr>
        <w:spacing w:before="0" w:after="100" w:line="290" w:lineRule="auto"/>
      </w:pPr>
      <w:r>
        <w:rPr>
          <w:rFonts w:ascii="Calibri" w:hAnsi="Calibri" w:eastAsia="Microsoft YaHei"/>
          <w:color w:val="1F2924"/>
          <w:sz w:val="22"/>
        </w:rPr>
        <w:t>合作层：未来商品或活动必须建立在性格依据和用户价值之上。</w:t>
      </w:r>
    </w:p>
    <w:p>
      <w:pPr>
        <w:pStyle w:val="Heading2"/>
      </w:pPr>
      <w:r>
        <w:t>不做什么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icrosoft YaHei"/>
          <w:color w:val="1F2924"/>
          <w:sz w:val="22"/>
        </w:rPr>
        <w:t>不靠答题过程中频繁插广告换取短期收入。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icrosoft YaHei"/>
          <w:color w:val="1F2924"/>
          <w:sz w:val="22"/>
        </w:rPr>
        <w:t>不在没有真实需求前建设复杂会员、支付和商家后台。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icrosoft YaHei"/>
          <w:color w:val="1F2924"/>
          <w:sz w:val="22"/>
        </w:rPr>
        <w:t>不使用“精准”“科学诊断”等无法证明的表达。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icrosoft YaHei"/>
          <w:color w:val="1F2924"/>
          <w:sz w:val="22"/>
        </w:rPr>
        <w:t>不让赞助方干预题目、计分和类型结论。</w:t>
      </w:r>
    </w:p>
    <w:p>
      <w:pPr>
        <w:spacing w:before="120" w:after="240" w:line="290" w:lineRule="auto"/>
        <w:ind w:left="230" w:right="173"/>
        <w:shd w:fill="EAF1EF"/>
        <w:pBdr>
          <w:left w:val="single" w:sz="18" w:space="8" w:color="2F6F64"/>
        </w:pBdr>
      </w:pPr>
      <w:r>
        <w:rPr>
          <w:rFonts w:ascii="Calibri" w:hAnsi="Calibri" w:eastAsia="Microsoft YaHei"/>
          <w:b/>
          <w:color w:val="2F6F64"/>
          <w:sz w:val="21"/>
        </w:rPr>
        <w:t xml:space="preserve">可复用资产  </w:t>
      </w:r>
      <w:r>
        <w:rPr>
          <w:rFonts w:ascii="Calibri" w:hAnsi="Calibri" w:eastAsia="Microsoft YaHei"/>
          <w:color w:val="1F2924"/>
          <w:sz w:val="21"/>
        </w:rPr>
        <w:t>16 种类型内容与选题库；经过反馈优化的题目和计分版本；分享海报、类型页与渠道归因；商家活动配置、推荐依据和数据报告模板。</w:t>
      </w:r>
    </w:p>
    <w:p>
      <w:pPr>
        <w:pageBreakBefore/>
        <w:spacing w:after="40"/>
        <w:jc w:val="left"/>
      </w:pPr>
      <w:r>
        <w:rPr>
          <w:rFonts w:ascii="Calibri" w:hAnsi="Calibri" w:eastAsia="Microsoft YaHei"/>
          <w:b/>
          <w:color w:val="DA7554"/>
          <w:sz w:val="19"/>
        </w:rPr>
        <w:t>SECTION 05</w:t>
      </w:r>
    </w:p>
    <w:p>
      <w:pPr>
        <w:pStyle w:val="Heading1"/>
        <w:spacing w:before="0"/>
      </w:pPr>
      <w:r>
        <w:rPr>
          <w:rFonts w:ascii="Calibri" w:hAnsi="Calibri" w:eastAsia="Microsoft YaHei"/>
          <w:b/>
          <w:color w:val="2F6F64"/>
          <w:sz w:val="40"/>
        </w:rPr>
        <w:t>未来 90 天推进计划</w:t>
      </w:r>
    </w:p>
    <w:p>
      <w:pPr>
        <w:spacing w:after="280" w:line="300" w:lineRule="auto"/>
      </w:pPr>
      <w:r>
        <w:rPr>
          <w:rFonts w:ascii="Calibri" w:hAnsi="Calibri" w:eastAsia="Microsoft YaHei"/>
          <w:color w:val="6D746F"/>
          <w:sz w:val="24"/>
        </w:rPr>
        <w:t>目标不是堆功能，而是用三个阶段回答：用户要不要、能不能传播、商家愿不愿意合作。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EDED5"/>
          <w:left w:val="single" w:sz="6" w:space="0" w:color="DEDED5"/>
          <w:bottom w:val="single" w:sz="6" w:space="0" w:color="DEDED5"/>
          <w:right w:val="single" w:sz="6" w:space="0" w:color="DEDED5"/>
          <w:insideH w:val="single" w:sz="6" w:space="0" w:color="DEDED5"/>
          <w:insideV w:val="single" w:sz="6" w:space="0" w:color="DEDED5"/>
        </w:tblBorders>
      </w:tblPr>
      <w:tblGrid>
        <w:gridCol w:w="1250"/>
        <w:gridCol w:w="1800"/>
        <w:gridCol w:w="3330"/>
        <w:gridCol w:w="2980"/>
      </w:tblGrid>
      <w:tr>
        <w:trPr>
          <w:tblHeader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6F64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6F64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核心目标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6F64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主要交付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6F64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进入下一阶段的条件</w:t>
            </w:r>
          </w:p>
        </w:tc>
      </w:tr>
      <w:tr>
        <w:tc>
          <w:tcPr>
            <w:tcW w:type="dxa" w:w="125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2924"/>
                <w:sz w:val="18"/>
              </w:rPr>
              <w:t>第 1-2 周</w:t>
            </w:r>
          </w:p>
        </w:tc>
        <w:tc>
          <w:tcPr>
            <w:tcW w:type="dxa" w:w="180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公开测试准备</w:t>
            </w:r>
          </w:p>
        </w:tc>
        <w:tc>
          <w:tcPr>
            <w:tcW w:type="dxa" w:w="333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线上统计、隐私与免责声明、数据清除、真机兼容、性能优化</w:t>
            </w:r>
          </w:p>
        </w:tc>
        <w:tc>
          <w:tcPr>
            <w:tcW w:type="dxa" w:w="298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核心流程无阻断；分享和二维码稳定</w:t>
            </w:r>
          </w:p>
        </w:tc>
      </w:tr>
      <w:tr>
        <w:tc>
          <w:tcPr>
            <w:tcW w:type="dxa" w:w="1250"/>
            <w:shd w:fill="F7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2924"/>
                <w:sz w:val="18"/>
              </w:rPr>
              <w:t>第 3-4 周</w:t>
            </w:r>
          </w:p>
        </w:tc>
        <w:tc>
          <w:tcPr>
            <w:tcW w:type="dxa" w:w="1800"/>
            <w:shd w:fill="F7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真实用户验证</w:t>
            </w:r>
          </w:p>
        </w:tc>
        <w:tc>
          <w:tcPr>
            <w:tcW w:type="dxa" w:w="3330"/>
            <w:shd w:fill="F7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30-100 位用户测试、完成率和准确度反馈、题目问题清单</w:t>
            </w:r>
          </w:p>
        </w:tc>
        <w:tc>
          <w:tcPr>
            <w:tcW w:type="dxa" w:w="2980"/>
            <w:shd w:fill="F7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获得可解释的完成率、分享率和反馈分布</w:t>
            </w:r>
          </w:p>
        </w:tc>
      </w:tr>
      <w:tr>
        <w:tc>
          <w:tcPr>
            <w:tcW w:type="dxa" w:w="125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2924"/>
                <w:sz w:val="18"/>
              </w:rPr>
              <w:t>第 5-8 周</w:t>
            </w:r>
          </w:p>
        </w:tc>
        <w:tc>
          <w:tcPr>
            <w:tcW w:type="dxa" w:w="180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内容增长验证</w:t>
            </w:r>
          </w:p>
        </w:tc>
        <w:tc>
          <w:tcPr>
            <w:tcW w:type="dxa" w:w="333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16 种类型内容、渠道参数、分享归因、分享页优化</w:t>
            </w:r>
          </w:p>
        </w:tc>
        <w:tc>
          <w:tcPr>
            <w:tcW w:type="dxa" w:w="298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证明分享或内容能持续带来新测试</w:t>
            </w:r>
          </w:p>
        </w:tc>
      </w:tr>
      <w:tr>
        <w:tc>
          <w:tcPr>
            <w:tcW w:type="dxa" w:w="1250"/>
            <w:shd w:fill="F7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2924"/>
                <w:sz w:val="18"/>
              </w:rPr>
              <w:t>第 9-10 周</w:t>
            </w:r>
          </w:p>
        </w:tc>
        <w:tc>
          <w:tcPr>
            <w:tcW w:type="dxa" w:w="1800"/>
            <w:shd w:fill="F7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商家材料准备</w:t>
            </w:r>
          </w:p>
        </w:tc>
        <w:tc>
          <w:tcPr>
            <w:tcW w:type="dxa" w:w="3330"/>
            <w:shd w:fill="F7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项目介绍、联名演示、数据报告样例、素材和验收清单</w:t>
            </w:r>
          </w:p>
        </w:tc>
        <w:tc>
          <w:tcPr>
            <w:tcW w:type="dxa" w:w="2980"/>
            <w:shd w:fill="F7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能够在一次会议中完整演示合作价值</w:t>
            </w:r>
          </w:p>
        </w:tc>
      </w:tr>
      <w:tr>
        <w:tc>
          <w:tcPr>
            <w:tcW w:type="dxa" w:w="125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2924"/>
                <w:sz w:val="18"/>
              </w:rPr>
              <w:t>第 11-12 周</w:t>
            </w:r>
          </w:p>
        </w:tc>
        <w:tc>
          <w:tcPr>
            <w:tcW w:type="dxa" w:w="180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首个商家试点</w:t>
            </w:r>
          </w:p>
        </w:tc>
        <w:tc>
          <w:tcPr>
            <w:tcW w:type="dxa" w:w="333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1 个低风险人工配置活动、活动报告和复盘</w:t>
            </w:r>
          </w:p>
        </w:tc>
        <w:tc>
          <w:tcPr>
            <w:tcW w:type="dxa" w:w="298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确认商家愿意为什么价值继续合作</w:t>
            </w:r>
          </w:p>
        </w:tc>
      </w:tr>
    </w:tbl>
    <w:p>
      <w:pPr>
        <w:spacing w:after="40"/>
      </w:pPr>
    </w:p>
    <w:p>
      <w:pPr>
        <w:pStyle w:val="Heading2"/>
      </w:pPr>
      <w:r>
        <w:t>90 天内不建议优先建设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icrosoft YaHei"/>
          <w:color w:val="1F2924"/>
          <w:sz w:val="22"/>
        </w:rPr>
        <w:t>付费会员和复杂支付系统。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icrosoft YaHei"/>
          <w:color w:val="1F2924"/>
          <w:sz w:val="22"/>
        </w:rPr>
        <w:t>通用商家后台和多角色权限。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icrosoft YaHei"/>
          <w:color w:val="1F2924"/>
          <w:sz w:val="22"/>
        </w:rPr>
        <w:t>需要大量内容维护的 AI 问诊或健康建议。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icrosoft YaHei"/>
          <w:color w:val="1F2924"/>
          <w:sz w:val="22"/>
        </w:rPr>
        <w:t>没有明确投放目标的广告系统。</w:t>
      </w:r>
    </w:p>
    <w:p>
      <w:pPr>
        <w:spacing w:before="120" w:after="240" w:line="290" w:lineRule="auto"/>
        <w:ind w:left="230" w:right="173"/>
        <w:shd w:fill="F7F5EF"/>
        <w:pBdr>
          <w:left w:val="single" w:sz="18" w:space="8" w:color="2F6F64"/>
        </w:pBdr>
      </w:pPr>
      <w:r>
        <w:rPr>
          <w:rFonts w:ascii="Calibri" w:hAnsi="Calibri" w:eastAsia="Microsoft YaHei"/>
          <w:b/>
          <w:color w:val="2F6F64"/>
          <w:sz w:val="21"/>
        </w:rPr>
        <w:t xml:space="preserve">阶段判断  </w:t>
      </w:r>
      <w:r>
        <w:rPr>
          <w:rFonts w:ascii="Calibri" w:hAnsi="Calibri" w:eastAsia="Microsoft YaHei"/>
          <w:color w:val="1F2924"/>
          <w:sz w:val="21"/>
        </w:rPr>
        <w:t>如果真实用户不愿完成或分享，应优先调整题目、结果和传播体验；如果用户指标成立但商家无兴趣，再调整合作价值，而不是直接扩大开发范围。</w:t>
      </w:r>
    </w:p>
    <w:p>
      <w:pPr>
        <w:pageBreakBefore/>
        <w:spacing w:after="40"/>
        <w:jc w:val="left"/>
      </w:pPr>
      <w:r>
        <w:rPr>
          <w:rFonts w:ascii="Calibri" w:hAnsi="Calibri" w:eastAsia="Microsoft YaHei"/>
          <w:b/>
          <w:color w:val="DA7554"/>
          <w:sz w:val="19"/>
        </w:rPr>
        <w:t>SECTION 06</w:t>
      </w:r>
    </w:p>
    <w:p>
      <w:pPr>
        <w:pStyle w:val="Heading1"/>
        <w:spacing w:before="0"/>
      </w:pPr>
      <w:r>
        <w:rPr>
          <w:rFonts w:ascii="Calibri" w:hAnsi="Calibri" w:eastAsia="Microsoft YaHei"/>
          <w:b/>
          <w:color w:val="2F6F64"/>
          <w:sz w:val="40"/>
        </w:rPr>
        <w:t>商家合作产品</w:t>
      </w:r>
    </w:p>
    <w:p>
      <w:pPr>
        <w:spacing w:after="280" w:line="300" w:lineRule="auto"/>
      </w:pPr>
      <w:r>
        <w:rPr>
          <w:rFonts w:ascii="Calibri" w:hAnsi="Calibri" w:eastAsia="Microsoft YaHei"/>
          <w:color w:val="6D746F"/>
          <w:sz w:val="24"/>
        </w:rPr>
        <w:t>第一批合作应选择与猫咪性格、互动和环境丰富化高度相关的场景，并采用人工配置降低试错成本。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EDED5"/>
          <w:left w:val="single" w:sz="6" w:space="0" w:color="DEDED5"/>
          <w:bottom w:val="single" w:sz="6" w:space="0" w:color="DEDED5"/>
          <w:right w:val="single" w:sz="6" w:space="0" w:color="DEDED5"/>
          <w:insideH w:val="single" w:sz="6" w:space="0" w:color="DEDED5"/>
          <w:insideV w:val="single" w:sz="6" w:space="0" w:color="DEDED5"/>
        </w:tblBorders>
      </w:tblPr>
      <w:tblGrid>
        <w:gridCol w:w="1600"/>
        <w:gridCol w:w="2050"/>
        <w:gridCol w:w="3300"/>
        <w:gridCol w:w="241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6F64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合作模式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6F64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商家获得的价值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6F64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猫格交付内容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6F64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适用阶段</w:t>
            </w:r>
          </w:p>
        </w:tc>
      </w:tr>
      <w:tr>
        <w:tc>
          <w:tcPr>
            <w:tcW w:type="dxa" w:w="160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2924"/>
                <w:sz w:val="18"/>
              </w:rPr>
              <w:t>品牌联名测试</w:t>
            </w:r>
          </w:p>
        </w:tc>
        <w:tc>
          <w:tcPr>
            <w:tcW w:type="dxa" w:w="205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品牌互动和社交传播</w:t>
            </w:r>
          </w:p>
        </w:tc>
        <w:tc>
          <w:tcPr>
            <w:tcW w:type="dxa" w:w="330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联名入口、主题、海报、渠道链接、活动报告</w:t>
            </w:r>
          </w:p>
        </w:tc>
        <w:tc>
          <w:tcPr>
            <w:tcW w:type="dxa" w:w="241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新品或品牌活动</w:t>
            </w:r>
          </w:p>
        </w:tc>
      </w:tr>
      <w:tr>
        <w:tc>
          <w:tcPr>
            <w:tcW w:type="dxa" w:w="1600"/>
            <w:shd w:fill="F7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2924"/>
                <w:sz w:val="18"/>
              </w:rPr>
              <w:t>结果页用品推荐</w:t>
            </w:r>
          </w:p>
        </w:tc>
        <w:tc>
          <w:tcPr>
            <w:tcW w:type="dxa" w:w="2050"/>
            <w:shd w:fill="F7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与行为场景相关的商品点击</w:t>
            </w:r>
          </w:p>
        </w:tc>
        <w:tc>
          <w:tcPr>
            <w:tcW w:type="dxa" w:w="3300"/>
            <w:shd w:fill="F7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推荐依据、商品卡、推广标识、点击统计</w:t>
            </w:r>
          </w:p>
        </w:tc>
        <w:tc>
          <w:tcPr>
            <w:tcW w:type="dxa" w:w="2410"/>
            <w:shd w:fill="F7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用品品牌试点</w:t>
            </w:r>
          </w:p>
        </w:tc>
      </w:tr>
      <w:tr>
        <w:tc>
          <w:tcPr>
            <w:tcW w:type="dxa" w:w="160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2924"/>
                <w:sz w:val="18"/>
              </w:rPr>
              <w:t>门店 / 展会引流</w:t>
            </w:r>
          </w:p>
        </w:tc>
        <w:tc>
          <w:tcPr>
            <w:tcW w:type="dxa" w:w="205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线下互动、到店或权益领取</w:t>
            </w:r>
          </w:p>
        </w:tc>
        <w:tc>
          <w:tcPr>
            <w:tcW w:type="dxa" w:w="330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专属二维码、活动入口、优惠权益、渠道报告</w:t>
            </w:r>
          </w:p>
        </w:tc>
        <w:tc>
          <w:tcPr>
            <w:tcW w:type="dxa" w:w="241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猫咖、门店、展会</w:t>
            </w:r>
          </w:p>
        </w:tc>
      </w:tr>
      <w:tr>
        <w:tc>
          <w:tcPr>
            <w:tcW w:type="dxa" w:w="1600"/>
            <w:shd w:fill="F7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2924"/>
                <w:sz w:val="18"/>
              </w:rPr>
              <w:t>内容联合发布</w:t>
            </w:r>
          </w:p>
        </w:tc>
        <w:tc>
          <w:tcPr>
            <w:tcW w:type="dxa" w:w="2050"/>
            <w:shd w:fill="F7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低成本内容资产和测试入口</w:t>
            </w:r>
          </w:p>
        </w:tc>
        <w:tc>
          <w:tcPr>
            <w:tcW w:type="dxa" w:w="3300"/>
            <w:shd w:fill="F7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16 类型内容、短视频脚本、类型页导流</w:t>
            </w:r>
          </w:p>
        </w:tc>
        <w:tc>
          <w:tcPr>
            <w:tcW w:type="dxa" w:w="2410"/>
            <w:shd w:fill="F7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第一轮合作验证</w:t>
            </w:r>
          </w:p>
        </w:tc>
      </w:tr>
      <w:tr>
        <w:tc>
          <w:tcPr>
            <w:tcW w:type="dxa" w:w="160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2924"/>
                <w:sz w:val="18"/>
              </w:rPr>
              <w:t>白标授权</w:t>
            </w:r>
          </w:p>
        </w:tc>
        <w:tc>
          <w:tcPr>
            <w:tcW w:type="dxa" w:w="205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独立品牌体验和长期复用</w:t>
            </w:r>
          </w:p>
        </w:tc>
        <w:tc>
          <w:tcPr>
            <w:tcW w:type="dxa" w:w="330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品牌域名、视觉主题、独立配置与数据</w:t>
            </w:r>
          </w:p>
        </w:tc>
        <w:tc>
          <w:tcPr>
            <w:tcW w:type="dxa" w:w="241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需求被多次验证后</w:t>
            </w:r>
          </w:p>
        </w:tc>
      </w:tr>
    </w:tbl>
    <w:p>
      <w:pPr>
        <w:spacing w:after="40"/>
      </w:pPr>
    </w:p>
    <w:p>
      <w:pPr>
        <w:pStyle w:val="Heading2"/>
      </w:pPr>
      <w:r>
        <w:t>优先合作对象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icrosoft YaHei"/>
          <w:color w:val="1F2924"/>
          <w:sz w:val="22"/>
        </w:rPr>
        <w:t>互动玩具、取食机关、猫窝、猫爬架、饮水和清洁用品品牌。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icrosoft YaHei"/>
          <w:color w:val="1F2924"/>
          <w:sz w:val="22"/>
        </w:rPr>
        <w:t>猫咖、宠物店、宠物展会、领养机构和宠物内容账号。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icrosoft YaHei"/>
          <w:color w:val="1F2924"/>
          <w:sz w:val="22"/>
        </w:rPr>
        <w:t>能够提供真实素材、明确活动目标，并接受商业标识的合作方。</w:t>
      </w:r>
    </w:p>
    <w:p>
      <w:pPr>
        <w:pStyle w:val="Heading2"/>
      </w:pPr>
      <w:r>
        <w:t>谨慎合作对象</w:t>
      </w:r>
    </w:p>
    <w:p>
      <w:pPr>
        <w:spacing w:after="160"/>
      </w:pPr>
      <w:r>
        <w:rPr>
          <w:rFonts w:ascii="Calibri" w:hAnsi="Calibri" w:eastAsia="Microsoft YaHei"/>
          <w:color w:val="1F2924"/>
          <w:sz w:val="22"/>
        </w:rPr>
        <w:t>宠物药品、疾病检测、处方粮、医疗和治疗服务需要单独进行专业与合规审核，不能根据趣味性格结果直接得出购买或治疗建议。</w:t>
      </w:r>
    </w:p>
    <w:p>
      <w:pPr>
        <w:pageBreakBefore/>
        <w:spacing w:after="40"/>
        <w:jc w:val="left"/>
      </w:pPr>
      <w:r>
        <w:rPr>
          <w:rFonts w:ascii="Calibri" w:hAnsi="Calibri" w:eastAsia="Microsoft YaHei"/>
          <w:b/>
          <w:color w:val="DA7554"/>
          <w:sz w:val="19"/>
        </w:rPr>
        <w:t>SECTION 07</w:t>
      </w:r>
    </w:p>
    <w:p>
      <w:pPr>
        <w:pStyle w:val="Heading1"/>
        <w:spacing w:before="0"/>
      </w:pPr>
      <w:r>
        <w:rPr>
          <w:rFonts w:ascii="Calibri" w:hAnsi="Calibri" w:eastAsia="Microsoft YaHei"/>
          <w:b/>
          <w:color w:val="2F6F64"/>
          <w:sz w:val="40"/>
        </w:rPr>
        <w:t>商家标准对接流程</w:t>
      </w:r>
    </w:p>
    <w:p>
      <w:pPr>
        <w:spacing w:after="280" w:line="300" w:lineRule="auto"/>
      </w:pPr>
      <w:r>
        <w:rPr>
          <w:rFonts w:ascii="Calibri" w:hAnsi="Calibri" w:eastAsia="Microsoft YaHei"/>
          <w:color w:val="6D746F"/>
          <w:sz w:val="24"/>
        </w:rPr>
        <w:t>用固定流程保护产品独立性，也减少每次合作重复沟通和无限修改。</w:t>
      </w:r>
    </w:p>
    <w:p>
      <w:pPr>
        <w:numPr>
          <w:ilvl w:val="0"/>
          <w:numId w:val="15"/>
        </w:numPr>
        <w:spacing w:before="0" w:after="100" w:line="290" w:lineRule="auto"/>
      </w:pPr>
      <w:r>
        <w:rPr>
          <w:rFonts w:ascii="Calibri" w:hAnsi="Calibri" w:eastAsia="Microsoft YaHei"/>
          <w:color w:val="1F2924"/>
          <w:sz w:val="22"/>
        </w:rPr>
        <w:t>商务确认：明确合作主体、活动目标、时间、渠道、预计流量、商业标识和高风险能力。</w:t>
      </w:r>
    </w:p>
    <w:p>
      <w:pPr>
        <w:numPr>
          <w:ilvl w:val="0"/>
          <w:numId w:val="15"/>
        </w:numPr>
        <w:spacing w:before="0" w:after="100" w:line="290" w:lineRule="auto"/>
      </w:pPr>
      <w:r>
        <w:rPr>
          <w:rFonts w:ascii="Calibri" w:hAnsi="Calibri" w:eastAsia="Microsoft YaHei"/>
          <w:color w:val="1F2924"/>
          <w:sz w:val="22"/>
        </w:rPr>
        <w:t>范围确认：书面列明页面、品牌露出、可修改与不可修改内容、交付时间和验收标准。</w:t>
      </w:r>
    </w:p>
    <w:p>
      <w:pPr>
        <w:numPr>
          <w:ilvl w:val="0"/>
          <w:numId w:val="15"/>
        </w:numPr>
        <w:spacing w:before="0" w:after="100" w:line="290" w:lineRule="auto"/>
      </w:pPr>
      <w:r>
        <w:rPr>
          <w:rFonts w:ascii="Calibri" w:hAnsi="Calibri" w:eastAsia="Microsoft YaHei"/>
          <w:color w:val="1F2924"/>
          <w:sz w:val="22"/>
        </w:rPr>
        <w:t>素材收集：获取 Logo、品牌规范、活动文案、商品素材、目标链接、优惠规则和版权授权。</w:t>
      </w:r>
    </w:p>
    <w:p>
      <w:pPr>
        <w:numPr>
          <w:ilvl w:val="0"/>
          <w:numId w:val="15"/>
        </w:numPr>
        <w:spacing w:before="0" w:after="100" w:line="290" w:lineRule="auto"/>
      </w:pPr>
      <w:r>
        <w:rPr>
          <w:rFonts w:ascii="Calibri" w:hAnsi="Calibri" w:eastAsia="Microsoft YaHei"/>
          <w:color w:val="1F2924"/>
          <w:sz w:val="22"/>
        </w:rPr>
        <w:t>配置开发：生成商家编号、活动编号、专属入口、主题配置、商品配置和渠道参数。</w:t>
      </w:r>
    </w:p>
    <w:p>
      <w:pPr>
        <w:numPr>
          <w:ilvl w:val="0"/>
          <w:numId w:val="15"/>
        </w:numPr>
        <w:spacing w:before="0" w:after="100" w:line="290" w:lineRule="auto"/>
      </w:pPr>
      <w:r>
        <w:rPr>
          <w:rFonts w:ascii="Calibri" w:hAnsi="Calibri" w:eastAsia="Microsoft YaHei"/>
          <w:color w:val="1F2924"/>
          <w:sz w:val="22"/>
        </w:rPr>
        <w:t>上线验收：逐项检查品牌信息、商业标识、链接、二维码、手机兼容、分享海报和数据事件。</w:t>
      </w:r>
    </w:p>
    <w:p>
      <w:pPr>
        <w:numPr>
          <w:ilvl w:val="0"/>
          <w:numId w:val="15"/>
        </w:numPr>
        <w:spacing w:before="0" w:after="100" w:line="290" w:lineRule="auto"/>
      </w:pPr>
      <w:r>
        <w:rPr>
          <w:rFonts w:ascii="Calibri" w:hAnsi="Calibri" w:eastAsia="Microsoft YaHei"/>
          <w:color w:val="1F2924"/>
          <w:sz w:val="22"/>
        </w:rPr>
        <w:t>活动复盘：输出统一口径的数据报告，记录开发成本、沟通成本、用户体验和商家反馈。</w:t>
      </w:r>
    </w:p>
    <w:p>
      <w:pPr>
        <w:pStyle w:val="Heading2"/>
      </w:pPr>
      <w:r>
        <w:t>双方最小交付清单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EDED5"/>
          <w:left w:val="single" w:sz="6" w:space="0" w:color="DEDED5"/>
          <w:bottom w:val="single" w:sz="6" w:space="0" w:color="DEDED5"/>
          <w:right w:val="single" w:sz="6" w:space="0" w:color="DEDED5"/>
          <w:insideH w:val="single" w:sz="6" w:space="0" w:color="DEDED5"/>
          <w:insideV w:val="single" w:sz="6" w:space="0" w:color="DEDED5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6F64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商家需要提供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6F64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猫格应提供</w:t>
            </w:r>
          </w:p>
        </w:tc>
      </w:tr>
      <w:tr>
        <w:tc>
          <w:tcPr>
            <w:tcW w:type="dxa" w:w="468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2924"/>
                <w:sz w:val="17"/>
              </w:rPr>
              <w:t>品牌名称、Logo、品牌色与使用规范</w:t>
            </w:r>
          </w:p>
        </w:tc>
        <w:tc>
          <w:tcPr>
            <w:tcW w:type="dxa" w:w="468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7"/>
              </w:rPr>
              <w:t>可预览的活动页面和完整测试流程</w:t>
            </w:r>
          </w:p>
        </w:tc>
      </w:tr>
      <w:tr>
        <w:tc>
          <w:tcPr>
            <w:tcW w:type="dxa" w:w="4680"/>
            <w:shd w:fill="F7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2924"/>
                <w:sz w:val="17"/>
              </w:rPr>
              <w:t>活动标题、说明、时间与联系人</w:t>
            </w:r>
          </w:p>
        </w:tc>
        <w:tc>
          <w:tcPr>
            <w:tcW w:type="dxa" w:w="4680"/>
            <w:shd w:fill="F7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7"/>
              </w:rPr>
              <w:t>专属链接、二维码和渠道参数</w:t>
            </w:r>
          </w:p>
        </w:tc>
      </w:tr>
      <w:tr>
        <w:tc>
          <w:tcPr>
            <w:tcW w:type="dxa" w:w="468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2924"/>
                <w:sz w:val="17"/>
              </w:rPr>
              <w:t>商品图片、卖点、目标链接与推荐依据</w:t>
            </w:r>
          </w:p>
        </w:tc>
        <w:tc>
          <w:tcPr>
            <w:tcW w:type="dxa" w:w="468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7"/>
              </w:rPr>
              <w:t>联名海报或商品推荐模块</w:t>
            </w:r>
          </w:p>
        </w:tc>
      </w:tr>
      <w:tr>
        <w:tc>
          <w:tcPr>
            <w:tcW w:type="dxa" w:w="4680"/>
            <w:shd w:fill="F7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2924"/>
                <w:sz w:val="17"/>
              </w:rPr>
              <w:t>优惠规则与商业标识文案</w:t>
            </w:r>
          </w:p>
        </w:tc>
        <w:tc>
          <w:tcPr>
            <w:tcW w:type="dxa" w:w="4680"/>
            <w:shd w:fill="F7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7"/>
              </w:rPr>
              <w:t>上线验收记录和活动结束策略</w:t>
            </w:r>
          </w:p>
        </w:tc>
      </w:tr>
      <w:tr>
        <w:tc>
          <w:tcPr>
            <w:tcW w:type="dxa" w:w="468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2924"/>
                <w:sz w:val="17"/>
              </w:rPr>
              <w:t>素材版权与使用授权确认</w:t>
            </w:r>
          </w:p>
        </w:tc>
        <w:tc>
          <w:tcPr>
            <w:tcW w:type="dxa" w:w="468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7"/>
              </w:rPr>
              <w:t>口径清晰的活动数据报告</w:t>
            </w:r>
          </w:p>
        </w:tc>
      </w:tr>
    </w:tbl>
    <w:p>
      <w:pPr>
        <w:spacing w:after="40"/>
      </w:pPr>
    </w:p>
    <w:p>
      <w:pPr>
        <w:spacing w:before="120" w:after="240" w:line="290" w:lineRule="auto"/>
        <w:ind w:left="230" w:right="173"/>
        <w:shd w:fill="F7F5EF"/>
        <w:pBdr>
          <w:left w:val="single" w:sz="18" w:space="8" w:color="2F6F64"/>
        </w:pBdr>
      </w:pPr>
      <w:r>
        <w:rPr>
          <w:rFonts w:ascii="Calibri" w:hAnsi="Calibri" w:eastAsia="Microsoft YaHei"/>
          <w:b/>
          <w:color w:val="2F6F64"/>
          <w:sz w:val="21"/>
        </w:rPr>
        <w:t xml:space="preserve">试点原则  </w:t>
      </w:r>
      <w:r>
        <w:rPr>
          <w:rFonts w:ascii="Calibri" w:hAnsi="Calibri" w:eastAsia="Microsoft YaHei"/>
          <w:color w:val="1F2924"/>
          <w:sz w:val="21"/>
        </w:rPr>
        <w:t>前 1-3 个商家通过 TypeScript 或 JSON 配置人工交付；只有当相同需求重复出现，才建设商家后台和数据库。</w:t>
      </w:r>
    </w:p>
    <w:p>
      <w:pPr>
        <w:pageBreakBefore/>
        <w:spacing w:after="40"/>
        <w:jc w:val="left"/>
      </w:pPr>
      <w:r>
        <w:rPr>
          <w:rFonts w:ascii="Calibri" w:hAnsi="Calibri" w:eastAsia="Microsoft YaHei"/>
          <w:b/>
          <w:color w:val="DA7554"/>
          <w:sz w:val="19"/>
        </w:rPr>
        <w:t>SECTION 08</w:t>
      </w:r>
    </w:p>
    <w:p>
      <w:pPr>
        <w:pStyle w:val="Heading1"/>
        <w:spacing w:before="0"/>
      </w:pPr>
      <w:r>
        <w:rPr>
          <w:rFonts w:ascii="Calibri" w:hAnsi="Calibri" w:eastAsia="Microsoft YaHei"/>
          <w:b/>
          <w:color w:val="2F6F64"/>
          <w:sz w:val="40"/>
        </w:rPr>
        <w:t>数据与运营闭环</w:t>
      </w:r>
    </w:p>
    <w:p>
      <w:pPr>
        <w:spacing w:after="280" w:line="300" w:lineRule="auto"/>
      </w:pPr>
      <w:r>
        <w:rPr>
          <w:rFonts w:ascii="Calibri" w:hAnsi="Calibri" w:eastAsia="Microsoft YaHei"/>
          <w:color w:val="6D746F"/>
          <w:sz w:val="24"/>
        </w:rPr>
        <w:t>数据的目的不是堆报表，而是持续回答产品、增长和商家价值三个问题。</w:t>
      </w:r>
    </w:p>
    <w:p>
      <w:pPr>
        <w:pStyle w:val="Heading2"/>
      </w:pPr>
      <w:r>
        <w:t>核心漏斗</w:t>
      </w:r>
    </w:p>
    <w:p>
      <w:pPr>
        <w:numPr>
          <w:ilvl w:val="0"/>
          <w:numId w:val="16"/>
        </w:numPr>
        <w:spacing w:before="0" w:after="100" w:line="290" w:lineRule="auto"/>
      </w:pPr>
      <w:r>
        <w:rPr>
          <w:rFonts w:ascii="Calibri" w:hAnsi="Calibri" w:eastAsia="Microsoft YaHei"/>
          <w:color w:val="1F2924"/>
          <w:sz w:val="22"/>
        </w:rPr>
        <w:t>访问首页 → 开始测试：判断首屏定位和入口是否有效。</w:t>
      </w:r>
    </w:p>
    <w:p>
      <w:pPr>
        <w:numPr>
          <w:ilvl w:val="0"/>
          <w:numId w:val="16"/>
        </w:numPr>
        <w:spacing w:before="0" w:after="100" w:line="290" w:lineRule="auto"/>
      </w:pPr>
      <w:r>
        <w:rPr>
          <w:rFonts w:ascii="Calibri" w:hAnsi="Calibri" w:eastAsia="Microsoft YaHei"/>
          <w:color w:val="1F2924"/>
          <w:sz w:val="22"/>
        </w:rPr>
        <w:t>开始测试 → 完成测试：判断题目长度、措辞和交互是否合理。</w:t>
      </w:r>
    </w:p>
    <w:p>
      <w:pPr>
        <w:numPr>
          <w:ilvl w:val="0"/>
          <w:numId w:val="16"/>
        </w:numPr>
        <w:spacing w:before="0" w:after="100" w:line="290" w:lineRule="auto"/>
      </w:pPr>
      <w:r>
        <w:rPr>
          <w:rFonts w:ascii="Calibri" w:hAnsi="Calibri" w:eastAsia="Microsoft YaHei"/>
          <w:color w:val="1F2924"/>
          <w:sz w:val="22"/>
        </w:rPr>
        <w:t>完成测试 → 分享结果：判断结果是否足够个性化和有表达欲。</w:t>
      </w:r>
    </w:p>
    <w:p>
      <w:pPr>
        <w:numPr>
          <w:ilvl w:val="0"/>
          <w:numId w:val="16"/>
        </w:numPr>
        <w:spacing w:before="0" w:after="100" w:line="290" w:lineRule="auto"/>
      </w:pPr>
      <w:r>
        <w:rPr>
          <w:rFonts w:ascii="Calibri" w:hAnsi="Calibri" w:eastAsia="Microsoft YaHei"/>
          <w:color w:val="1F2924"/>
          <w:sz w:val="22"/>
        </w:rPr>
        <w:t>分享打开 → 新测试：判断分享闭环是否真正带来增长。</w:t>
      </w:r>
    </w:p>
    <w:p>
      <w:pPr>
        <w:numPr>
          <w:ilvl w:val="0"/>
          <w:numId w:val="16"/>
        </w:numPr>
        <w:spacing w:before="0" w:after="100" w:line="290" w:lineRule="auto"/>
      </w:pPr>
      <w:r>
        <w:rPr>
          <w:rFonts w:ascii="Calibri" w:hAnsi="Calibri" w:eastAsia="Microsoft YaHei"/>
          <w:color w:val="1F2924"/>
          <w:sz w:val="22"/>
        </w:rPr>
        <w:t>查看结果 → 合作内容点击：判断商业内容是否与用户需求匹配。</w:t>
      </w:r>
    </w:p>
    <w:p>
      <w:pPr>
        <w:pStyle w:val="Heading2"/>
      </w:pPr>
      <w:r>
        <w:t>当前应跟踪的指标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icrosoft YaHei"/>
          <w:color w:val="1F2924"/>
          <w:sz w:val="22"/>
        </w:rPr>
        <w:t>首页到开始测试转化率、测试完成率和每道题流失率。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icrosoft YaHei"/>
          <w:color w:val="1F2924"/>
          <w:sz w:val="22"/>
        </w:rPr>
        <w:t>校准题出现比例、16 种结果分布和快速 / 完整版一致性。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icrosoft YaHei"/>
          <w:color w:val="1F2924"/>
          <w:sz w:val="22"/>
        </w:rPr>
        <w:t>很像、部分像、不太像的结果反馈分布。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icrosoft YaHei"/>
          <w:color w:val="1F2924"/>
          <w:sz w:val="22"/>
        </w:rPr>
        <w:t>分享率、分享结果打开率和分享带来的新测试数量。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icrosoft YaHei"/>
          <w:color w:val="1F2924"/>
          <w:sz w:val="22"/>
        </w:rPr>
        <w:t>未来商家活动的商品点击率、权益点击率和渠道差异。</w:t>
      </w:r>
    </w:p>
    <w:p>
      <w:pPr>
        <w:spacing w:before="120" w:after="240" w:line="290" w:lineRule="auto"/>
        <w:ind w:left="230" w:right="173"/>
        <w:shd w:fill="EAF1EF"/>
        <w:pBdr>
          <w:left w:val="single" w:sz="18" w:space="8" w:color="2F6F64"/>
        </w:pBdr>
      </w:pPr>
      <w:r>
        <w:rPr>
          <w:rFonts w:ascii="Calibri" w:hAnsi="Calibri" w:eastAsia="Microsoft YaHei"/>
          <w:b/>
          <w:color w:val="2F6F64"/>
          <w:sz w:val="21"/>
        </w:rPr>
        <w:t xml:space="preserve">数据原则  </w:t>
      </w:r>
      <w:r>
        <w:rPr>
          <w:rFonts w:ascii="Calibri" w:hAnsi="Calibri" w:eastAsia="Microsoft YaHei"/>
          <w:color w:val="1F2924"/>
          <w:sz w:val="21"/>
        </w:rPr>
        <w:t>不把头像、完整答案或联系方式写入普通分析事件；只向商家提供不可识别个人或单只猫咪的汇总数据；题目与计分变化必须记录版本；样本量不足时不输出“行业结论”。</w:t>
      </w:r>
    </w:p>
    <w:p>
      <w:pPr>
        <w:pageBreakBefore/>
        <w:spacing w:after="40"/>
        <w:jc w:val="left"/>
      </w:pPr>
      <w:r>
        <w:rPr>
          <w:rFonts w:ascii="Calibri" w:hAnsi="Calibri" w:eastAsia="Microsoft YaHei"/>
          <w:b/>
          <w:color w:val="DA7554"/>
          <w:sz w:val="19"/>
        </w:rPr>
        <w:t>SECTION 09</w:t>
      </w:r>
    </w:p>
    <w:p>
      <w:pPr>
        <w:pStyle w:val="Heading1"/>
        <w:spacing w:before="0"/>
      </w:pPr>
      <w:r>
        <w:rPr>
          <w:rFonts w:ascii="Calibri" w:hAnsi="Calibri" w:eastAsia="Microsoft YaHei"/>
          <w:b/>
          <w:color w:val="2F6F64"/>
          <w:sz w:val="40"/>
        </w:rPr>
        <w:t>长期商业模式与启动顺序</w:t>
      </w:r>
    </w:p>
    <w:p>
      <w:pPr>
        <w:spacing w:after="280" w:line="300" w:lineRule="auto"/>
      </w:pPr>
      <w:r>
        <w:rPr>
          <w:rFonts w:ascii="Calibri" w:hAnsi="Calibri" w:eastAsia="Microsoft YaHei"/>
          <w:color w:val="6D746F"/>
          <w:sz w:val="24"/>
        </w:rPr>
        <w:t>商业化应建立在用户价值和可验证转化上，而不是先占据页面空间。</w:t>
      </w:r>
    </w:p>
    <w:p>
      <w:pPr>
        <w:pStyle w:val="Heading2"/>
      </w:pPr>
      <w:r>
        <w:t>建议顺序</w:t>
      </w:r>
    </w:p>
    <w:p>
      <w:pPr>
        <w:numPr>
          <w:ilvl w:val="0"/>
          <w:numId w:val="17"/>
        </w:numPr>
        <w:spacing w:before="0" w:after="100" w:line="290" w:lineRule="auto"/>
      </w:pPr>
      <w:r>
        <w:rPr>
          <w:rFonts w:ascii="Calibri" w:hAnsi="Calibri" w:eastAsia="Microsoft YaHei"/>
          <w:color w:val="1F2924"/>
          <w:sz w:val="22"/>
        </w:rPr>
        <w:t>免费测试与内容传播：先形成稳定流量和可信反馈。</w:t>
      </w:r>
    </w:p>
    <w:p>
      <w:pPr>
        <w:numPr>
          <w:ilvl w:val="0"/>
          <w:numId w:val="17"/>
        </w:numPr>
        <w:spacing w:before="0" w:after="100" w:line="290" w:lineRule="auto"/>
      </w:pPr>
      <w:r>
        <w:rPr>
          <w:rFonts w:ascii="Calibri" w:hAnsi="Calibri" w:eastAsia="Microsoft YaHei"/>
          <w:color w:val="1F2924"/>
          <w:sz w:val="22"/>
        </w:rPr>
        <w:t>相关用品推广：只推荐与性格依据一致的玩具和环境用品，并明确标注推广。</w:t>
      </w:r>
    </w:p>
    <w:p>
      <w:pPr>
        <w:numPr>
          <w:ilvl w:val="0"/>
          <w:numId w:val="17"/>
        </w:numPr>
        <w:spacing w:before="0" w:after="100" w:line="290" w:lineRule="auto"/>
      </w:pPr>
      <w:r>
        <w:rPr>
          <w:rFonts w:ascii="Calibri" w:hAnsi="Calibri" w:eastAsia="Microsoft YaHei"/>
          <w:color w:val="1F2924"/>
          <w:sz w:val="22"/>
        </w:rPr>
        <w:t>品牌联名与活动服务：通过定制入口、海报、渠道和报告按项目交付。</w:t>
      </w:r>
    </w:p>
    <w:p>
      <w:pPr>
        <w:numPr>
          <w:ilvl w:val="0"/>
          <w:numId w:val="17"/>
        </w:numPr>
        <w:spacing w:before="0" w:after="100" w:line="290" w:lineRule="auto"/>
      </w:pPr>
      <w:r>
        <w:rPr>
          <w:rFonts w:ascii="Calibri" w:hAnsi="Calibri" w:eastAsia="Microsoft YaHei"/>
          <w:color w:val="1F2924"/>
          <w:sz w:val="22"/>
        </w:rPr>
        <w:t>白标和商家工具：在重复需求明确后，按年度授权或服务方式产品化。</w:t>
      </w:r>
    </w:p>
    <w:p>
      <w:pPr>
        <w:numPr>
          <w:ilvl w:val="0"/>
          <w:numId w:val="17"/>
        </w:numPr>
        <w:spacing w:before="0" w:after="100" w:line="290" w:lineRule="auto"/>
      </w:pPr>
      <w:r>
        <w:rPr>
          <w:rFonts w:ascii="Calibri" w:hAnsi="Calibri" w:eastAsia="Microsoft YaHei"/>
          <w:color w:val="1F2924"/>
          <w:sz w:val="22"/>
        </w:rPr>
        <w:t>付费个性报告：只有用户对详细内容表现出真实付费意愿后再验证。</w:t>
      </w:r>
    </w:p>
    <w:p>
      <w:pPr>
        <w:pStyle w:val="Heading2"/>
      </w:pPr>
      <w:r>
        <w:t>商业化启动门槛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icrosoft YaHei"/>
          <w:color w:val="1F2924"/>
          <w:sz w:val="22"/>
        </w:rPr>
        <w:t>测试完成率和分享率达到团队设定的稳定目标。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icrosoft YaHei"/>
          <w:color w:val="1F2924"/>
          <w:sz w:val="22"/>
        </w:rPr>
        <w:t>结果反馈能够证明内容对大多数用户有参考价值。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icrosoft YaHei"/>
          <w:color w:val="1F2924"/>
          <w:sz w:val="22"/>
        </w:rPr>
        <w:t>线上统计、渠道归因和商业点击事件已经生效。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icrosoft YaHei"/>
          <w:color w:val="1F2924"/>
          <w:sz w:val="22"/>
        </w:rPr>
        <w:t>商业内容标识、隐私说明和合作审核流程完整。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icrosoft YaHei"/>
          <w:color w:val="1F2924"/>
          <w:sz w:val="22"/>
        </w:rPr>
        <w:t>至少一个商家愿意共同完成低风险试点。</w:t>
      </w:r>
    </w:p>
    <w:p>
      <w:pPr>
        <w:spacing w:before="120" w:after="240" w:line="290" w:lineRule="auto"/>
        <w:ind w:left="230" w:right="173"/>
        <w:shd w:fill="F7F5EF"/>
        <w:pBdr>
          <w:left w:val="single" w:sz="18" w:space="8" w:color="2F6F64"/>
        </w:pBdr>
      </w:pPr>
      <w:r>
        <w:rPr>
          <w:rFonts w:ascii="Calibri" w:hAnsi="Calibri" w:eastAsia="Microsoft YaHei"/>
          <w:b/>
          <w:color w:val="2F6F64"/>
          <w:sz w:val="21"/>
        </w:rPr>
        <w:t xml:space="preserve">报价策略  </w:t>
      </w:r>
      <w:r>
        <w:rPr>
          <w:rFonts w:ascii="Calibri" w:hAnsi="Calibri" w:eastAsia="Microsoft YaHei"/>
          <w:color w:val="1F2924"/>
          <w:sz w:val="21"/>
        </w:rPr>
        <w:t>第一阶段不在计划书中写死统一价格。先记录每次试点的开发、沟通、内容、运营和报告成本，再形成标准套餐和最低可接受报价。</w:t>
      </w:r>
    </w:p>
    <w:p>
      <w:pPr>
        <w:pageBreakBefore/>
        <w:spacing w:after="40"/>
        <w:jc w:val="left"/>
      </w:pPr>
      <w:r>
        <w:rPr>
          <w:rFonts w:ascii="Calibri" w:hAnsi="Calibri" w:eastAsia="Microsoft YaHei"/>
          <w:b/>
          <w:color w:val="DA7554"/>
          <w:sz w:val="19"/>
        </w:rPr>
        <w:t>SECTION 10</w:t>
      </w:r>
    </w:p>
    <w:p>
      <w:pPr>
        <w:pStyle w:val="Heading1"/>
        <w:spacing w:before="0"/>
      </w:pPr>
      <w:r>
        <w:rPr>
          <w:rFonts w:ascii="Calibri" w:hAnsi="Calibri" w:eastAsia="Microsoft YaHei"/>
          <w:b/>
          <w:color w:val="2F6F64"/>
          <w:sz w:val="40"/>
        </w:rPr>
        <w:t>团队分工与资源计划</w:t>
      </w:r>
    </w:p>
    <w:p>
      <w:pPr>
        <w:spacing w:after="280" w:line="300" w:lineRule="auto"/>
      </w:pPr>
      <w:r>
        <w:rPr>
          <w:rFonts w:ascii="Calibri" w:hAnsi="Calibri" w:eastAsia="Microsoft YaHei"/>
          <w:color w:val="6D746F"/>
          <w:sz w:val="24"/>
        </w:rPr>
        <w:t>合伙阶段最重要的不是每个人都做所有事，而是每个关键结果都有明确负责人。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EDED5"/>
          <w:left w:val="single" w:sz="6" w:space="0" w:color="DEDED5"/>
          <w:bottom w:val="single" w:sz="6" w:space="0" w:color="DEDED5"/>
          <w:right w:val="single" w:sz="6" w:space="0" w:color="DEDED5"/>
          <w:insideH w:val="single" w:sz="6" w:space="0" w:color="DEDED5"/>
          <w:insideV w:val="single" w:sz="6" w:space="0" w:color="DEDED5"/>
        </w:tblBorders>
      </w:tblPr>
      <w:tblGrid>
        <w:gridCol w:w="1800"/>
        <w:gridCol w:w="4030"/>
        <w:gridCol w:w="353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6F64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6F64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主要工作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6F64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负责人 / 近期产出</w:t>
            </w:r>
          </w:p>
        </w:tc>
      </w:tr>
      <w:tr>
        <w:tc>
          <w:tcPr>
            <w:tcW w:type="dxa" w:w="180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2924"/>
                <w:sz w:val="18"/>
              </w:rPr>
              <w:t>产品与技术</w:t>
            </w:r>
          </w:p>
        </w:tc>
        <w:tc>
          <w:tcPr>
            <w:tcW w:type="dxa" w:w="403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产品路线、开发、部署、数据事件、质量与稳定性</w:t>
            </w:r>
          </w:p>
        </w:tc>
        <w:tc>
          <w:tcPr>
            <w:tcW w:type="dxa" w:w="353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待确认｜完成公开测试版本</w:t>
            </w:r>
          </w:p>
        </w:tc>
      </w:tr>
      <w:tr>
        <w:tc>
          <w:tcPr>
            <w:tcW w:type="dxa" w:w="1800"/>
            <w:shd w:fill="F7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2924"/>
                <w:sz w:val="18"/>
              </w:rPr>
              <w:t>内容与专业审核</w:t>
            </w:r>
          </w:p>
        </w:tc>
        <w:tc>
          <w:tcPr>
            <w:tcW w:type="dxa" w:w="4030"/>
            <w:shd w:fill="F7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题目、16 类型内容、运营选题、行为边界审核</w:t>
            </w:r>
          </w:p>
        </w:tc>
        <w:tc>
          <w:tcPr>
            <w:tcW w:type="dxa" w:w="3530"/>
            <w:shd w:fill="F7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待确认｜完成首轮内容和审核清单</w:t>
            </w:r>
          </w:p>
        </w:tc>
      </w:tr>
      <w:tr>
        <w:tc>
          <w:tcPr>
            <w:tcW w:type="dxa" w:w="180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2924"/>
                <w:sz w:val="18"/>
              </w:rPr>
              <w:t>增长与运营</w:t>
            </w:r>
          </w:p>
        </w:tc>
        <w:tc>
          <w:tcPr>
            <w:tcW w:type="dxa" w:w="403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种子用户、渠道内容、分享实验、反馈整理</w:t>
            </w:r>
          </w:p>
        </w:tc>
        <w:tc>
          <w:tcPr>
            <w:tcW w:type="dxa" w:w="353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待确认｜获得首批 30-100 位用户</w:t>
            </w:r>
          </w:p>
        </w:tc>
      </w:tr>
      <w:tr>
        <w:tc>
          <w:tcPr>
            <w:tcW w:type="dxa" w:w="1800"/>
            <w:shd w:fill="F7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2924"/>
                <w:sz w:val="18"/>
              </w:rPr>
              <w:t>商务合作</w:t>
            </w:r>
          </w:p>
        </w:tc>
        <w:tc>
          <w:tcPr>
            <w:tcW w:type="dxa" w:w="4030"/>
            <w:shd w:fill="F7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合作名单、商家沟通、方案、合同和复盘</w:t>
            </w:r>
          </w:p>
        </w:tc>
        <w:tc>
          <w:tcPr>
            <w:tcW w:type="dxa" w:w="3530"/>
            <w:shd w:fill="F7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待确认｜锁定首个低风险试点</w:t>
            </w:r>
          </w:p>
        </w:tc>
      </w:tr>
      <w:tr>
        <w:tc>
          <w:tcPr>
            <w:tcW w:type="dxa" w:w="180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2924"/>
                <w:sz w:val="18"/>
              </w:rPr>
              <w:t>项目管理</w:t>
            </w:r>
          </w:p>
        </w:tc>
        <w:tc>
          <w:tcPr>
            <w:tcW w:type="dxa" w:w="403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节奏、会议、文档、风险、预算和阶段决策</w:t>
            </w:r>
          </w:p>
        </w:tc>
        <w:tc>
          <w:tcPr>
            <w:tcW w:type="dxa" w:w="353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待确认｜维护每周推进与决策记录</w:t>
            </w:r>
          </w:p>
        </w:tc>
      </w:tr>
    </w:tbl>
    <w:p>
      <w:pPr>
        <w:spacing w:after="40"/>
      </w:pPr>
    </w:p>
    <w:p>
      <w:pPr>
        <w:pStyle w:val="Heading2"/>
      </w:pPr>
      <w:r>
        <w:t>近期资源投入类别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icrosoft YaHei"/>
          <w:color w:val="1F2924"/>
          <w:sz w:val="22"/>
        </w:rPr>
        <w:t>基础设施：域名、阿里云 ESA、线上统计、错误监控。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icrosoft YaHei"/>
          <w:color w:val="1F2924"/>
          <w:sz w:val="22"/>
        </w:rPr>
        <w:t>产品验证：真实用户招募、设备测试和行为内容专业审核。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icrosoft YaHei"/>
          <w:color w:val="1F2924"/>
          <w:sz w:val="22"/>
        </w:rPr>
        <w:t>内容增长：类型卡、短视频、小红书内容和渠道运营。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icrosoft YaHei"/>
          <w:color w:val="1F2924"/>
          <w:sz w:val="22"/>
        </w:rPr>
        <w:t>商务准备：演示页面、商家材料、合同与合规咨询。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icrosoft YaHei"/>
          <w:color w:val="1F2924"/>
          <w:sz w:val="22"/>
        </w:rPr>
        <w:t>后端投入：仅在账号、商家后台、优惠券或支付需求确认后启动。</w:t>
      </w:r>
    </w:p>
    <w:p>
      <w:pPr>
        <w:spacing w:before="120" w:after="240" w:line="290" w:lineRule="auto"/>
        <w:ind w:left="230" w:right="173"/>
        <w:shd w:fill="F7F5EF"/>
        <w:pBdr>
          <w:left w:val="single" w:sz="18" w:space="8" w:color="2F6F64"/>
        </w:pBdr>
      </w:pPr>
      <w:r>
        <w:rPr>
          <w:rFonts w:ascii="Calibri" w:hAnsi="Calibri" w:eastAsia="Microsoft YaHei"/>
          <w:b/>
          <w:color w:val="2F6F64"/>
          <w:sz w:val="21"/>
        </w:rPr>
        <w:t xml:space="preserve">预算原则  </w:t>
      </w:r>
      <w:r>
        <w:rPr>
          <w:rFonts w:ascii="Calibri" w:hAnsi="Calibri" w:eastAsia="Microsoft YaHei"/>
          <w:color w:val="1F2924"/>
          <w:sz w:val="21"/>
        </w:rPr>
        <w:t>预算按阶段释放，每一阶段都要有可验证的退出条件；在核心假设未成立前，不进行大规模投放或重后端建设。</w:t>
      </w:r>
    </w:p>
    <w:p>
      <w:pPr>
        <w:pageBreakBefore/>
        <w:spacing w:after="40"/>
        <w:jc w:val="left"/>
      </w:pPr>
      <w:r>
        <w:rPr>
          <w:rFonts w:ascii="Calibri" w:hAnsi="Calibri" w:eastAsia="Microsoft YaHei"/>
          <w:b/>
          <w:color w:val="DA7554"/>
          <w:sz w:val="19"/>
        </w:rPr>
        <w:t>SECTION 11</w:t>
      </w:r>
    </w:p>
    <w:p>
      <w:pPr>
        <w:pStyle w:val="Heading1"/>
        <w:spacing w:before="0"/>
      </w:pPr>
      <w:r>
        <w:rPr>
          <w:rFonts w:ascii="Calibri" w:hAnsi="Calibri" w:eastAsia="Microsoft YaHei"/>
          <w:b/>
          <w:color w:val="2F6F64"/>
          <w:sz w:val="40"/>
        </w:rPr>
        <w:t>关键风险与治理原则</w:t>
      </w:r>
    </w:p>
    <w:p>
      <w:pPr>
        <w:spacing w:after="280" w:line="300" w:lineRule="auto"/>
      </w:pPr>
      <w:r>
        <w:rPr>
          <w:rFonts w:ascii="Calibri" w:hAnsi="Calibri" w:eastAsia="Microsoft YaHei"/>
          <w:color w:val="6D746F"/>
          <w:sz w:val="24"/>
        </w:rPr>
        <w:t>项目需要同时保护用户信任、内容可信度和未来商家合作的边界。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EDED5"/>
          <w:left w:val="single" w:sz="6" w:space="0" w:color="DEDED5"/>
          <w:bottom w:val="single" w:sz="6" w:space="0" w:color="DEDED5"/>
          <w:right w:val="single" w:sz="6" w:space="0" w:color="DEDED5"/>
          <w:insideH w:val="single" w:sz="6" w:space="0" w:color="DEDED5"/>
          <w:insideV w:val="single" w:sz="6" w:space="0" w:color="DEDED5"/>
        </w:tblBorders>
      </w:tblPr>
      <w:tblGrid>
        <w:gridCol w:w="1900"/>
        <w:gridCol w:w="3000"/>
        <w:gridCol w:w="4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6F64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6F64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主要表现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6F64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治理原则</w:t>
            </w:r>
          </w:p>
        </w:tc>
      </w:tr>
      <w:tr>
        <w:tc>
          <w:tcPr>
            <w:tcW w:type="dxa" w:w="190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2924"/>
                <w:sz w:val="17"/>
              </w:rPr>
              <w:t>结果认可度不足</w:t>
            </w:r>
          </w:p>
        </w:tc>
        <w:tc>
          <w:tcPr>
            <w:tcW w:type="dxa" w:w="300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7"/>
              </w:rPr>
              <w:t>用户觉得标签有趣但不准确</w:t>
            </w:r>
          </w:p>
        </w:tc>
        <w:tc>
          <w:tcPr>
            <w:tcW w:type="dxa" w:w="446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7"/>
              </w:rPr>
              <w:t>分析反馈、中立率、类型分布与版本一致性，并邀请专业人士审题</w:t>
            </w:r>
          </w:p>
        </w:tc>
      </w:tr>
      <w:tr>
        <w:tc>
          <w:tcPr>
            <w:tcW w:type="dxa" w:w="1900"/>
            <w:shd w:fill="F7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2924"/>
                <w:sz w:val="17"/>
              </w:rPr>
              <w:t>分享动力不足</w:t>
            </w:r>
          </w:p>
        </w:tc>
        <w:tc>
          <w:tcPr>
            <w:tcW w:type="dxa" w:w="3000"/>
            <w:shd w:fill="F7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7"/>
              </w:rPr>
              <w:t>完成测试后不愿分享</w:t>
            </w:r>
          </w:p>
        </w:tc>
        <w:tc>
          <w:tcPr>
            <w:tcW w:type="dxa" w:w="4460"/>
            <w:shd w:fill="F7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7"/>
              </w:rPr>
              <w:t>优先提升结果个性化、海报表达和朋友查看体验</w:t>
            </w:r>
          </w:p>
        </w:tc>
      </w:tr>
      <w:tr>
        <w:tc>
          <w:tcPr>
            <w:tcW w:type="dxa" w:w="190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2924"/>
                <w:sz w:val="17"/>
              </w:rPr>
              <w:t>商家影响独立性</w:t>
            </w:r>
          </w:p>
        </w:tc>
        <w:tc>
          <w:tcPr>
            <w:tcW w:type="dxa" w:w="300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7"/>
              </w:rPr>
              <w:t>要求修改题目或结论匹配商品</w:t>
            </w:r>
          </w:p>
        </w:tc>
        <w:tc>
          <w:tcPr>
            <w:tcW w:type="dxa" w:w="446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7"/>
              </w:rPr>
              <w:t>在方案和合同中明确题目、计分与类型独立</w:t>
            </w:r>
          </w:p>
        </w:tc>
      </w:tr>
      <w:tr>
        <w:tc>
          <w:tcPr>
            <w:tcW w:type="dxa" w:w="1900"/>
            <w:shd w:fill="F7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2924"/>
                <w:sz w:val="17"/>
              </w:rPr>
              <w:t>过早建设系统</w:t>
            </w:r>
          </w:p>
        </w:tc>
        <w:tc>
          <w:tcPr>
            <w:tcW w:type="dxa" w:w="3000"/>
            <w:shd w:fill="F7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7"/>
              </w:rPr>
              <w:t>账号、后台和支付投入过大</w:t>
            </w:r>
          </w:p>
        </w:tc>
        <w:tc>
          <w:tcPr>
            <w:tcW w:type="dxa" w:w="4460"/>
            <w:shd w:fill="F7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7"/>
              </w:rPr>
              <w:t>先人工交付 1-3 个试点，再按重复需求产品化</w:t>
            </w:r>
          </w:p>
        </w:tc>
      </w:tr>
      <w:tr>
        <w:tc>
          <w:tcPr>
            <w:tcW w:type="dxa" w:w="190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2924"/>
                <w:sz w:val="17"/>
              </w:rPr>
              <w:t>隐私与数据使用</w:t>
            </w:r>
          </w:p>
        </w:tc>
        <w:tc>
          <w:tcPr>
            <w:tcW w:type="dxa" w:w="300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7"/>
              </w:rPr>
              <w:t>用户不清楚档案和分析数据用途</w:t>
            </w:r>
          </w:p>
        </w:tc>
        <w:tc>
          <w:tcPr>
            <w:tcW w:type="dxa" w:w="446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7"/>
              </w:rPr>
              <w:t>数据最小化、明确用途、提供删除入口，不提供原始数据</w:t>
            </w:r>
          </w:p>
        </w:tc>
      </w:tr>
      <w:tr>
        <w:tc>
          <w:tcPr>
            <w:tcW w:type="dxa" w:w="1900"/>
            <w:shd w:fill="F7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2924"/>
                <w:sz w:val="17"/>
              </w:rPr>
              <w:t>医疗与健康表达</w:t>
            </w:r>
          </w:p>
        </w:tc>
        <w:tc>
          <w:tcPr>
            <w:tcW w:type="dxa" w:w="3000"/>
            <w:shd w:fill="F7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7"/>
              </w:rPr>
              <w:t>趣味结果被误解为治疗建议</w:t>
            </w:r>
          </w:p>
        </w:tc>
        <w:tc>
          <w:tcPr>
            <w:tcW w:type="dxa" w:w="4460"/>
            <w:shd w:fill="F7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7"/>
              </w:rPr>
              <w:t>保留免责声明；医疗、药品与疾病合作单独进行专业和合规审核</w:t>
            </w:r>
          </w:p>
        </w:tc>
      </w:tr>
    </w:tbl>
    <w:p>
      <w:pPr>
        <w:spacing w:after="40"/>
      </w:pPr>
    </w:p>
    <w:p>
      <w:pPr>
        <w:spacing w:before="120" w:after="240" w:line="290" w:lineRule="auto"/>
        <w:ind w:left="230" w:right="173"/>
        <w:shd w:fill="F8ECE8"/>
        <w:pBdr>
          <w:left w:val="single" w:sz="18" w:space="8" w:color="DA7554"/>
        </w:pBdr>
      </w:pPr>
      <w:r>
        <w:rPr>
          <w:rFonts w:ascii="Calibri" w:hAnsi="Calibri" w:eastAsia="Microsoft YaHei"/>
          <w:b/>
          <w:color w:val="2F6F64"/>
          <w:sz w:val="21"/>
        </w:rPr>
        <w:t xml:space="preserve">治理底线  </w:t>
      </w:r>
      <w:r>
        <w:rPr>
          <w:rFonts w:ascii="Calibri" w:hAnsi="Calibri" w:eastAsia="Microsoft YaHei"/>
          <w:color w:val="1F2924"/>
          <w:sz w:val="21"/>
        </w:rPr>
        <w:t>任何商业合作都不能改变测试题目、计分和类型结论；任何健康相关表达都必须经过独立的专业与合规审核。</w:t>
      </w:r>
    </w:p>
    <w:p>
      <w:pPr>
        <w:pageBreakBefore/>
        <w:spacing w:after="40"/>
        <w:jc w:val="left"/>
      </w:pPr>
      <w:r>
        <w:rPr>
          <w:rFonts w:ascii="Calibri" w:hAnsi="Calibri" w:eastAsia="Microsoft YaHei"/>
          <w:b/>
          <w:color w:val="DA7554"/>
          <w:sz w:val="19"/>
        </w:rPr>
        <w:t>SECTION 12</w:t>
      </w:r>
    </w:p>
    <w:p>
      <w:pPr>
        <w:pStyle w:val="Heading1"/>
        <w:spacing w:before="0"/>
      </w:pPr>
      <w:r>
        <w:rPr>
          <w:rFonts w:ascii="Calibri" w:hAnsi="Calibri" w:eastAsia="Microsoft YaHei"/>
          <w:b/>
          <w:color w:val="2F6F64"/>
          <w:sz w:val="40"/>
        </w:rPr>
        <w:t>合伙人会议建议议程</w:t>
      </w:r>
    </w:p>
    <w:p>
      <w:pPr>
        <w:spacing w:after="280" w:line="300" w:lineRule="auto"/>
      </w:pPr>
      <w:r>
        <w:rPr>
          <w:rFonts w:ascii="Calibri" w:hAnsi="Calibri" w:eastAsia="Microsoft YaHei"/>
          <w:color w:val="6D746F"/>
          <w:sz w:val="24"/>
        </w:rPr>
        <w:t>这页可以直接作为一次 60-90 分钟合伙人会议的讨论清单。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EDED5"/>
          <w:left w:val="single" w:sz="6" w:space="0" w:color="DEDED5"/>
          <w:bottom w:val="single" w:sz="6" w:space="0" w:color="DEDED5"/>
          <w:right w:val="single" w:sz="6" w:space="0" w:color="DEDED5"/>
          <w:insideH w:val="single" w:sz="6" w:space="0" w:color="DEDED5"/>
          <w:insideV w:val="single" w:sz="6" w:space="0" w:color="DEDED5"/>
        </w:tblBorders>
      </w:tblPr>
      <w:tblGrid>
        <w:gridCol w:w="520"/>
        <w:gridCol w:w="4950"/>
        <w:gridCol w:w="3890"/>
      </w:tblGrid>
      <w:tr>
        <w:trPr>
          <w:tblHeader w:val="true"/>
        </w:trP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6F64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4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6F64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需要共同决定</w:t>
            </w:r>
          </w:p>
        </w:tc>
        <w:tc>
          <w:tcPr>
            <w:tcW w:type="dxa" w:w="3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6F64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建议结论</w:t>
            </w:r>
          </w:p>
        </w:tc>
      </w:tr>
      <w:tr>
        <w:tc>
          <w:tcPr>
            <w:tcW w:type="dxa" w:w="52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2924"/>
                <w:sz w:val="18"/>
              </w:rPr>
              <w:t>1</w:t>
            </w:r>
          </w:p>
        </w:tc>
        <w:tc>
          <w:tcPr>
            <w:tcW w:type="dxa" w:w="495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未来 90 天的主目标是什么？</w:t>
            </w:r>
          </w:p>
        </w:tc>
        <w:tc>
          <w:tcPr>
            <w:tcW w:type="dxa" w:w="389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产品与增长验证优先，商业化只做试点准备</w:t>
            </w:r>
          </w:p>
        </w:tc>
      </w:tr>
      <w:tr>
        <w:tc>
          <w:tcPr>
            <w:tcW w:type="dxa" w:w="520"/>
            <w:shd w:fill="F7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2924"/>
                <w:sz w:val="18"/>
              </w:rPr>
              <w:t>2</w:t>
            </w:r>
          </w:p>
        </w:tc>
        <w:tc>
          <w:tcPr>
            <w:tcW w:type="dxa" w:w="4950"/>
            <w:shd w:fill="F7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谁对产品技术结果负责？</w:t>
            </w:r>
          </w:p>
        </w:tc>
        <w:tc>
          <w:tcPr>
            <w:tcW w:type="dxa" w:w="3890"/>
            <w:shd w:fill="F7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指定唯一负责人，并维护每周发布节奏</w:t>
            </w:r>
          </w:p>
        </w:tc>
      </w:tr>
      <w:tr>
        <w:tc>
          <w:tcPr>
            <w:tcW w:type="dxa" w:w="52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2924"/>
                <w:sz w:val="18"/>
              </w:rPr>
              <w:t>3</w:t>
            </w:r>
          </w:p>
        </w:tc>
        <w:tc>
          <w:tcPr>
            <w:tcW w:type="dxa" w:w="495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谁负责首批真实用户？</w:t>
            </w:r>
          </w:p>
        </w:tc>
        <w:tc>
          <w:tcPr>
            <w:tcW w:type="dxa" w:w="389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明确渠道、数量目标和反馈整理方式</w:t>
            </w:r>
          </w:p>
        </w:tc>
      </w:tr>
      <w:tr>
        <w:tc>
          <w:tcPr>
            <w:tcW w:type="dxa" w:w="520"/>
            <w:shd w:fill="F7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2924"/>
                <w:sz w:val="18"/>
              </w:rPr>
              <w:t>4</w:t>
            </w:r>
          </w:p>
        </w:tc>
        <w:tc>
          <w:tcPr>
            <w:tcW w:type="dxa" w:w="4950"/>
            <w:shd w:fill="F7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谁负责内容与专业边界？</w:t>
            </w:r>
          </w:p>
        </w:tc>
        <w:tc>
          <w:tcPr>
            <w:tcW w:type="dxa" w:w="3890"/>
            <w:shd w:fill="F7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确定内容负责人，并建立题目审核清单</w:t>
            </w:r>
          </w:p>
        </w:tc>
      </w:tr>
      <w:tr>
        <w:tc>
          <w:tcPr>
            <w:tcW w:type="dxa" w:w="52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2924"/>
                <w:sz w:val="18"/>
              </w:rPr>
              <w:t>5</w:t>
            </w:r>
          </w:p>
        </w:tc>
        <w:tc>
          <w:tcPr>
            <w:tcW w:type="dxa" w:w="495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首个商家试点选择谁？</w:t>
            </w:r>
          </w:p>
        </w:tc>
        <w:tc>
          <w:tcPr>
            <w:tcW w:type="dxa" w:w="389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优先用品品牌、猫咖、宠物店或内容账号</w:t>
            </w:r>
          </w:p>
        </w:tc>
      </w:tr>
      <w:tr>
        <w:tc>
          <w:tcPr>
            <w:tcW w:type="dxa" w:w="520"/>
            <w:shd w:fill="F7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2924"/>
                <w:sz w:val="18"/>
              </w:rPr>
              <w:t>6</w:t>
            </w:r>
          </w:p>
        </w:tc>
        <w:tc>
          <w:tcPr>
            <w:tcW w:type="dxa" w:w="4950"/>
            <w:shd w:fill="F7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什么指标决定继续投入？</w:t>
            </w:r>
          </w:p>
        </w:tc>
        <w:tc>
          <w:tcPr>
            <w:tcW w:type="dxa" w:w="3890"/>
            <w:shd w:fill="F7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完成率、分享率、结果反馈和分享新增</w:t>
            </w:r>
          </w:p>
        </w:tc>
      </w:tr>
      <w:tr>
        <w:tc>
          <w:tcPr>
            <w:tcW w:type="dxa" w:w="52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2924"/>
                <w:sz w:val="18"/>
              </w:rPr>
              <w:t>7</w:t>
            </w:r>
          </w:p>
        </w:tc>
        <w:tc>
          <w:tcPr>
            <w:tcW w:type="dxa" w:w="495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哪些事情明确暂时不做？</w:t>
            </w:r>
          </w:p>
        </w:tc>
        <w:tc>
          <w:tcPr>
            <w:tcW w:type="dxa" w:w="3890"/>
            <w:shd w:fill="FFFE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支付、会员、复杂后台、大规模广告和医疗建议</w:t>
            </w:r>
          </w:p>
        </w:tc>
      </w:tr>
      <w:tr>
        <w:tc>
          <w:tcPr>
            <w:tcW w:type="dxa" w:w="520"/>
            <w:shd w:fill="F7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2924"/>
                <w:sz w:val="18"/>
              </w:rPr>
              <w:t>8</w:t>
            </w:r>
          </w:p>
        </w:tc>
        <w:tc>
          <w:tcPr>
            <w:tcW w:type="dxa" w:w="4950"/>
            <w:shd w:fill="F7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下次阶段复盘在什么时候？</w:t>
            </w:r>
          </w:p>
        </w:tc>
        <w:tc>
          <w:tcPr>
            <w:tcW w:type="dxa" w:w="3890"/>
            <w:shd w:fill="F7F5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24"/>
                <w:sz w:val="18"/>
              </w:rPr>
              <w:t>建议两周一次小复盘，四周一次阶段决策</w:t>
            </w:r>
          </w:p>
        </w:tc>
      </w:tr>
    </w:tbl>
    <w:p>
      <w:pPr>
        <w:spacing w:after="40"/>
      </w:pPr>
    </w:p>
    <w:p>
      <w:pPr>
        <w:pStyle w:val="Heading2"/>
      </w:pPr>
      <w:r>
        <w:t>会议后两周行动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icrosoft YaHei"/>
          <w:color w:val="1F2924"/>
          <w:sz w:val="22"/>
        </w:rPr>
        <w:t>配置真实线上统计和错误监控。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icrosoft YaHei"/>
          <w:color w:val="1F2924"/>
          <w:sz w:val="22"/>
        </w:rPr>
        <w:t>补齐隐私说明、免责声明和一键清除本地数据。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icrosoft YaHei"/>
          <w:color w:val="1F2924"/>
          <w:sz w:val="22"/>
        </w:rPr>
        <w:t>完成微信、iPhone 和 Android 真机测试。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icrosoft YaHei"/>
          <w:color w:val="1F2924"/>
          <w:sz w:val="22"/>
        </w:rPr>
        <w:t>确定 30-100 位种子用户来源和邀请方式。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icrosoft YaHei"/>
          <w:color w:val="1F2924"/>
          <w:sz w:val="22"/>
        </w:rPr>
        <w:t>确认团队分工、每周节奏和阶段指标。</w:t>
      </w:r>
    </w:p>
    <w:p>
      <w:pPr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icrosoft YaHei"/>
          <w:color w:val="1F2924"/>
          <w:sz w:val="22"/>
        </w:rPr>
        <w:t>列出 10 个潜在商家或合作账号，暂不承诺复杂定制。</w:t>
      </w:r>
    </w:p>
    <w:p>
      <w:pPr>
        <w:spacing w:before="120" w:after="240" w:line="290" w:lineRule="auto"/>
        <w:ind w:left="230" w:right="173"/>
        <w:shd w:fill="F7F5EF"/>
        <w:pBdr>
          <w:left w:val="single" w:sz="18" w:space="8" w:color="2F6F64"/>
        </w:pBdr>
      </w:pPr>
      <w:r>
        <w:rPr>
          <w:rFonts w:ascii="Calibri" w:hAnsi="Calibri" w:eastAsia="Microsoft YaHei"/>
          <w:b/>
          <w:color w:val="2F6F64"/>
          <w:sz w:val="21"/>
        </w:rPr>
        <w:t xml:space="preserve">建议的会议结论  </w:t>
      </w:r>
      <w:r>
        <w:rPr>
          <w:rFonts w:ascii="Calibri" w:hAnsi="Calibri" w:eastAsia="Microsoft YaHei"/>
          <w:color w:val="1F2924"/>
          <w:sz w:val="21"/>
        </w:rPr>
        <w:t>同意以 90 天为一期推进；前四周只验证产品和真实用户；第九周开始准备商家材料；首个试点采用人工配置，试点复盘后再决定后台与商业化投入。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D746F"/>
        <w:sz w:val="17"/>
      </w:rPr>
      <w:t xml:space="preserve">内部讨论材料  |  </w:t>
    </w:r>
    <w:r>
      <w:rPr>
        <w:rFonts w:ascii="Calibri" w:hAnsi="Calibri" w:eastAsia="Microsoft YaHei"/>
        <w:color w:val="6D746F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D746F"/>
        <w:sz w:val="17"/>
      </w:rPr>
      <w:t>猫格 MIBT  ·  合伙人沟通版  ·  2026 年 7 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jc w:val="left"/>
    </w:pPr>
    <w:r>
      <w:rPr>
        <w:rFonts w:ascii="Calibri" w:hAnsi="Calibri" w:eastAsia="Microsoft YaHei"/>
        <w:b/>
        <w:color w:val="6D746F"/>
        <w:sz w:val="17"/>
      </w:rPr>
      <w:t>猫格 MIBT｜项目计划书</w:t>
      <w:tab/>
      <w:t>合伙人内部讨论版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9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</w:pPr>
    </w:lvl>
  </w:abstract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 w:eastAsia="Microsoft YaHei"/>
      <w:color w:val="1F29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F6F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F6F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292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F2924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 w:eastAsia="Microsoft YaHei"/>
      <w:i/>
      <w:iCs/>
      <w:color w:val="2F6F64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猫格 MIBT 项目计划书（合伙人沟通版）</dc:title>
  <dc:subject>项目现状、90天推进、商家合作与合伙人决策</dc:subject>
  <dc:creator>猫格 MIBT 项目组</dc:creator>
  <cp:keywords>猫格,MIBT,项目计划书,合伙人,商家合作</cp:keywords>
  <dc:description>内部讨论材料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