
<file path=[Content_Types].xml><?xml version="1.0" encoding="utf-8"?>
<Types xmlns="http://schemas.openxmlformats.org/package/2006/content-types">
  <Default Extension="xml" ContentType="application/xml"/>
  <Default Extension="emf" ContentType="image/x-e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e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D221467">
      <w:pPr>
        <w:pStyle w:val="31"/>
        <w:jc w:val="center"/>
      </w:pPr>
      <w:r>
        <w:t>AI智能客服竞品分析报告</w:t>
      </w:r>
    </w:p>
    <w:p w14:paraId="790E768B">
      <w:pPr>
        <w:spacing w:after="40" w:line="240" w:lineRule="auto"/>
        <w:jc w:val="center"/>
      </w:pPr>
      <w:r>
        <w:rPr>
          <w:b/>
          <w:color w:val="4B5563"/>
          <w:sz w:val="18"/>
        </w:rPr>
        <w:t>用途：</w:t>
      </w:r>
      <w:r>
        <w:rPr>
          <w:color w:val="4B5563"/>
          <w:sz w:val="18"/>
        </w:rPr>
        <w:t xml:space="preserve"> 产品经理作品集与产品立项参考</w:t>
      </w:r>
    </w:p>
    <w:p w14:paraId="0DBF1500">
      <w:pPr>
        <w:spacing w:after="40" w:line="240" w:lineRule="auto"/>
        <w:jc w:val="center"/>
      </w:pPr>
      <w:r>
        <w:rPr>
          <w:b/>
          <w:color w:val="4B5563"/>
          <w:sz w:val="18"/>
        </w:rPr>
        <w:t>研究对象：</w:t>
      </w:r>
      <w:r>
        <w:rPr>
          <w:color w:val="4B5563"/>
          <w:sz w:val="18"/>
        </w:rPr>
        <w:t xml:space="preserve"> Udesk、智齿科技、网易七鱼、美洽、腾讯云联络中心及客服大模型机器人</w:t>
      </w:r>
    </w:p>
    <w:p w14:paraId="1F69D037">
      <w:pPr>
        <w:pStyle w:val="3"/>
      </w:pPr>
      <w:r>
        <w:t>摘要</w:t>
      </w:r>
    </w:p>
    <w:p w14:paraId="23B0F0B3">
      <w:r>
        <w:t>智能客服正在从“自动回答问题”升级为“理解意图、调用业务系统并完成任务”的服务智能体。市场已经形成三类主要玩家：以 Udesk、智齿为代表的一体化客户联络平台，以网易七鱼、美洽为代表的 SaaS 客服工具，以及以腾讯云为代表的云平台型方案。五款产品都能覆盖在线接待、机器人、知识库、人工转接和数据报表，真正拉开差距的是复杂流程执行、跨渠道一致性、知识运营成本、人工兜底体验和价格透明度。对新产品而言，机会不是再做一个“大而全”的客服后台，而是用更低的配置门槛、更可信的回答和更顺滑的人机协同，把“回复率”升级为“问题解决率”。</w:t>
      </w:r>
    </w:p>
    <w:p w14:paraId="1086825E">
      <w:pPr>
        <w:pStyle w:val="3"/>
      </w:pPr>
      <w:r>
        <w:t>一 分析目的</w:t>
      </w:r>
    </w:p>
    <w:p w14:paraId="53F4EC97">
      <w:r>
        <w:t>本报告面向计划建设 AI 智能客服产品的团队，目标是回答三个问题：第一，国内主流产品已把基础能力做到什么程度；第二，大模型进入客服后，哪些能力真正改善了用户体验，哪些仍停留在宣传层；第三，新产品应选择怎样的差异化切口。研究同时关注企业采购者、客服运营人员和终端消费者，避免只用“降本”评价产品。分析范围包括市场规模、产品定位、功能、AI 技术、使用体验、商业模式及用户痛点，最终形成可用于 MVP 立项的建议。</w:t>
      </w:r>
    </w:p>
    <w:p w14:paraId="3B89D231">
      <w:pPr>
        <w:pStyle w:val="3"/>
      </w:pPr>
      <w:r>
        <w:t>二 调研方法与市场判断</w:t>
      </w:r>
    </w:p>
    <w:p w14:paraId="273687FA">
      <w:r>
        <w:t>本次调研以厂商官网、帮助文档和公开价格页为主要依据，辅以行业报告、监管及媒体调查、知乎公开讨论和应用商店页面。功能表中的“支持”表示已找到公开证据，“部分支持”表示需要组合购买、依赖外部产品或公开描述不完整，“未确认”不等于产品一定没有该功能。</w:t>
      </w:r>
    </w:p>
    <w:p w14:paraId="3F9BCF8F">
      <w:r>
        <w:t>不同机构对“AI 客服”的统计口径差异很大。Grand View Research 将全球 AI 客服市场估算为 2024 年 130.12 亿美元，预计 2033 年达到 838.55 亿美元，2025—2033 年复合增速为 23.2%；Gartner 对更宽口径的全球 CRM 客服与支持软件市场估算为 2024 年 434 亿美元，并预计至 2028 年保持 13.9% 的恒定汇率复合增速。中国市场方面，艾媒咨询数据经公开披露文件转引：2024 年中国智能客服市场约 482 亿元，预计 2027 年达到 907 亿元，复合增速约 23.46%。三组数字不可直接横向比较，但都指向同一趋势：生成式 AI、全渠道服务和业务流程自动化正共同推动市场扩张。</w:t>
      </w:r>
    </w:p>
    <w:p w14:paraId="4D75A529">
      <w:r>
        <w:t>竞争重点也在迁移。过去厂商比拼渠道数量、呼叫中心稳定性和坐席管理；现在开始比拼 RAG 知识检索、上下文理解、情绪识别、工作流编排及 Agent 调用订单、物流、CRM 的能力。采购决策因此从“买几个坐席”变成“机器人、消息量、模型调用、集成开发与人工运营”共同构成的总拥有成本。</w:t>
      </w:r>
    </w:p>
    <w:p w14:paraId="7B9C4F83">
      <w:pPr>
        <w:pStyle w:val="3"/>
      </w:pPr>
      <w:r>
        <w:t>三 竞品概况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16"/>
        <w:gridCol w:w="2016"/>
        <w:gridCol w:w="2016"/>
        <w:gridCol w:w="2016"/>
        <w:gridCol w:w="2016"/>
      </w:tblGrid>
      <w:tr w14:paraId="7B9EE6C4">
        <w:trPr>
          <w:tblHeader/>
          <w:jc w:val="center"/>
        </w:trPr>
        <w:tc>
          <w:tcPr>
            <w:tcW w:w="2016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1F4E7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2184BFB">
            <w:pPr>
              <w:spacing w:after="0" w:line="252" w:lineRule="auto"/>
              <w:jc w:val="left"/>
            </w:pPr>
            <w:r>
              <w:rPr>
                <w:rFonts w:ascii="Arial Unicode" w:hAnsi="Arial Unicode" w:eastAsia="Arial Unicode"/>
                <w:b/>
                <w:color w:val="FFFFFF"/>
                <w:sz w:val="17"/>
              </w:rPr>
              <w:t>公司及产品</w:t>
            </w:r>
          </w:p>
        </w:tc>
        <w:tc>
          <w:tcPr>
            <w:tcW w:w="2016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1F4E7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B986BFB">
            <w:pPr>
              <w:spacing w:after="0" w:line="252" w:lineRule="auto"/>
              <w:jc w:val="left"/>
            </w:pPr>
            <w:r>
              <w:rPr>
                <w:rFonts w:ascii="Arial Unicode" w:hAnsi="Arial Unicode" w:eastAsia="Arial Unicode"/>
                <w:b/>
                <w:color w:val="FFFFFF"/>
                <w:sz w:val="17"/>
              </w:rPr>
              <w:t>上线或公开节点</w:t>
            </w:r>
          </w:p>
        </w:tc>
        <w:tc>
          <w:tcPr>
            <w:tcW w:w="2016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1F4E7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4027045">
            <w:pPr>
              <w:spacing w:after="0" w:line="252" w:lineRule="auto"/>
              <w:jc w:val="left"/>
            </w:pPr>
            <w:r>
              <w:rPr>
                <w:rFonts w:ascii="Arial Unicode" w:hAnsi="Arial Unicode" w:eastAsia="Arial Unicode"/>
                <w:b/>
                <w:color w:val="FFFFFF"/>
                <w:sz w:val="17"/>
              </w:rPr>
              <w:t>融资或背景</w:t>
            </w:r>
          </w:p>
        </w:tc>
        <w:tc>
          <w:tcPr>
            <w:tcW w:w="2016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1F4E7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3D5A6EC">
            <w:pPr>
              <w:spacing w:after="0" w:line="252" w:lineRule="auto"/>
              <w:jc w:val="left"/>
            </w:pPr>
            <w:r>
              <w:rPr>
                <w:rFonts w:ascii="Arial Unicode" w:hAnsi="Arial Unicode" w:eastAsia="Arial Unicode"/>
                <w:b/>
                <w:color w:val="FFFFFF"/>
                <w:sz w:val="17"/>
              </w:rPr>
              <w:t>核心定位</w:t>
            </w:r>
          </w:p>
        </w:tc>
        <w:tc>
          <w:tcPr>
            <w:tcW w:w="2016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1F4E7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61B921B">
            <w:pPr>
              <w:spacing w:after="0" w:line="252" w:lineRule="auto"/>
              <w:jc w:val="left"/>
            </w:pPr>
            <w:r>
              <w:rPr>
                <w:rFonts w:ascii="Arial Unicode" w:hAnsi="Arial Unicode" w:eastAsia="Arial Unicode"/>
                <w:b/>
                <w:color w:val="FFFFFF"/>
                <w:sz w:val="17"/>
              </w:rPr>
              <w:t>主要客群</w:t>
            </w:r>
          </w:p>
        </w:tc>
      </w:tr>
      <w:tr w14:paraId="29692FFE">
        <w:trPr>
          <w:jc w:val="center"/>
        </w:trPr>
        <w:tc>
          <w:tcPr>
            <w:tcW w:w="2016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35A6CFB">
            <w:pPr>
              <w:spacing w:after="0" w:line="252" w:lineRule="auto"/>
              <w:jc w:val="left"/>
            </w:pPr>
            <w:r>
              <w:rPr>
                <w:rFonts w:ascii="Arial Unicode" w:hAnsi="Arial Unicode" w:eastAsia="Arial Unicode"/>
                <w:sz w:val="17"/>
              </w:rPr>
              <w:t>沃丰科技 Udesk</w:t>
            </w:r>
          </w:p>
        </w:tc>
        <w:tc>
          <w:tcPr>
            <w:tcW w:w="2016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AFE1471">
            <w:pPr>
              <w:spacing w:after="0" w:line="252" w:lineRule="auto"/>
              <w:jc w:val="left"/>
            </w:pPr>
            <w:r>
              <w:rPr>
                <w:rFonts w:ascii="Arial Unicode" w:hAnsi="Arial Unicode" w:eastAsia="Arial Unicode"/>
                <w:sz w:val="17"/>
              </w:rPr>
              <w:t>公司及产品始于 2013 年</w:t>
            </w:r>
          </w:p>
        </w:tc>
        <w:tc>
          <w:tcPr>
            <w:tcW w:w="2016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DF794A8">
            <w:pPr>
              <w:spacing w:after="0" w:line="252" w:lineRule="auto"/>
              <w:jc w:val="left"/>
            </w:pPr>
            <w:r>
              <w:rPr>
                <w:rFonts w:ascii="Arial Unicode" w:hAnsi="Arial Unicode" w:eastAsia="Arial Unicode"/>
                <w:sz w:val="17"/>
              </w:rPr>
              <w:t>2018 年 C 轮 3 亿元；2020 年 C+ 轮 2.5 亿元</w:t>
            </w:r>
          </w:p>
        </w:tc>
        <w:tc>
          <w:tcPr>
            <w:tcW w:w="2016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28DA9C6">
            <w:pPr>
              <w:spacing w:after="0" w:line="252" w:lineRule="auto"/>
              <w:jc w:val="left"/>
            </w:pPr>
            <w:r>
              <w:rPr>
                <w:rFonts w:ascii="Arial Unicode" w:hAnsi="Arial Unicode" w:eastAsia="Arial Unicode"/>
                <w:sz w:val="17"/>
              </w:rPr>
              <w:t>全渠道客服、呼叫中心、工单与现场服务一体化</w:t>
            </w:r>
          </w:p>
        </w:tc>
        <w:tc>
          <w:tcPr>
            <w:tcW w:w="2016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28564A7">
            <w:pPr>
              <w:spacing w:after="0" w:line="252" w:lineRule="auto"/>
              <w:jc w:val="left"/>
            </w:pPr>
            <w:r>
              <w:rPr>
                <w:rFonts w:ascii="Arial Unicode" w:hAnsi="Arial Unicode" w:eastAsia="Arial Unicode"/>
                <w:sz w:val="17"/>
              </w:rPr>
              <w:t>中大型企业、制造、金融、零售、出海企业</w:t>
            </w:r>
          </w:p>
        </w:tc>
      </w:tr>
      <w:tr w14:paraId="1878982B">
        <w:trPr>
          <w:jc w:val="center"/>
        </w:trPr>
        <w:tc>
          <w:tcPr>
            <w:tcW w:w="2016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EEF4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9DE8941">
            <w:pPr>
              <w:spacing w:after="0" w:line="252" w:lineRule="auto"/>
              <w:jc w:val="left"/>
            </w:pPr>
            <w:r>
              <w:rPr>
                <w:rFonts w:ascii="Arial Unicode" w:hAnsi="Arial Unicode" w:eastAsia="Arial Unicode"/>
                <w:sz w:val="17"/>
              </w:rPr>
              <w:t>智齿科技</w:t>
            </w:r>
          </w:p>
        </w:tc>
        <w:tc>
          <w:tcPr>
            <w:tcW w:w="2016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EEF4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F087CF5">
            <w:pPr>
              <w:spacing w:after="0" w:line="252" w:lineRule="auto"/>
              <w:jc w:val="left"/>
            </w:pPr>
            <w:r>
              <w:rPr>
                <w:rFonts w:ascii="Arial Unicode" w:hAnsi="Arial Unicode" w:eastAsia="Arial Unicode"/>
                <w:sz w:val="17"/>
              </w:rPr>
              <w:t>2012 年产品雏形，2014 年公司成立</w:t>
            </w:r>
          </w:p>
        </w:tc>
        <w:tc>
          <w:tcPr>
            <w:tcW w:w="2016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EEF4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9A92F44">
            <w:pPr>
              <w:spacing w:after="0" w:line="252" w:lineRule="auto"/>
              <w:jc w:val="left"/>
            </w:pPr>
            <w:r>
              <w:rPr>
                <w:rFonts w:ascii="Arial Unicode" w:hAnsi="Arial Unicode" w:eastAsia="Arial Unicode"/>
                <w:sz w:val="17"/>
              </w:rPr>
              <w:t>2022 年 D 轮 1 亿美元</w:t>
            </w:r>
          </w:p>
        </w:tc>
        <w:tc>
          <w:tcPr>
            <w:tcW w:w="2016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EEF4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ACFB7EB">
            <w:pPr>
              <w:spacing w:after="0" w:line="252" w:lineRule="auto"/>
              <w:jc w:val="left"/>
            </w:pPr>
            <w:r>
              <w:rPr>
                <w:rFonts w:ascii="Arial Unicode" w:hAnsi="Arial Unicode" w:eastAsia="Arial Unicode"/>
                <w:sz w:val="17"/>
              </w:rPr>
              <w:t>AI Agent 驱动的客户联络平台，强调服务、营销、管理一体化</w:t>
            </w:r>
          </w:p>
        </w:tc>
        <w:tc>
          <w:tcPr>
            <w:tcW w:w="2016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EEF4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F38BF14">
            <w:pPr>
              <w:spacing w:after="0" w:line="252" w:lineRule="auto"/>
              <w:jc w:val="left"/>
            </w:pPr>
            <w:r>
              <w:rPr>
                <w:rFonts w:ascii="Arial Unicode" w:hAnsi="Arial Unicode" w:eastAsia="Arial Unicode"/>
                <w:sz w:val="17"/>
              </w:rPr>
              <w:t>中大型企业及全球化团队</w:t>
            </w:r>
          </w:p>
        </w:tc>
      </w:tr>
      <w:tr w14:paraId="712A487E">
        <w:trPr>
          <w:jc w:val="center"/>
        </w:trPr>
        <w:tc>
          <w:tcPr>
            <w:tcW w:w="2016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D5007C6">
            <w:pPr>
              <w:spacing w:after="0" w:line="252" w:lineRule="auto"/>
              <w:jc w:val="left"/>
            </w:pPr>
            <w:r>
              <w:rPr>
                <w:rFonts w:ascii="Arial Unicode" w:hAnsi="Arial Unicode" w:eastAsia="Arial Unicode"/>
                <w:sz w:val="17"/>
              </w:rPr>
              <w:t>网易七鱼</w:t>
            </w:r>
          </w:p>
        </w:tc>
        <w:tc>
          <w:tcPr>
            <w:tcW w:w="2016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551C15D">
            <w:pPr>
              <w:spacing w:after="0" w:line="252" w:lineRule="auto"/>
              <w:jc w:val="left"/>
            </w:pPr>
            <w:r>
              <w:rPr>
                <w:rFonts w:ascii="Arial Unicode" w:hAnsi="Arial Unicode" w:eastAsia="Arial Unicode"/>
                <w:sz w:val="17"/>
              </w:rPr>
              <w:t>2016 年正式上线</w:t>
            </w:r>
          </w:p>
        </w:tc>
        <w:tc>
          <w:tcPr>
            <w:tcW w:w="2016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8EB4E6E">
            <w:pPr>
              <w:spacing w:after="0" w:line="252" w:lineRule="auto"/>
              <w:jc w:val="left"/>
            </w:pPr>
            <w:r>
              <w:rPr>
                <w:rFonts w:ascii="Arial Unicode" w:hAnsi="Arial Unicode" w:eastAsia="Arial Unicode"/>
                <w:sz w:val="17"/>
              </w:rPr>
              <w:t>网易集团内部产品，无独立融资披露</w:t>
            </w:r>
          </w:p>
        </w:tc>
        <w:tc>
          <w:tcPr>
            <w:tcW w:w="2016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05DCFE4">
            <w:pPr>
              <w:spacing w:after="0" w:line="252" w:lineRule="auto"/>
              <w:jc w:val="left"/>
            </w:pPr>
            <w:r>
              <w:rPr>
                <w:rFonts w:ascii="Arial Unicode" w:hAnsi="Arial Unicode" w:eastAsia="Arial Unicode"/>
                <w:sz w:val="17"/>
              </w:rPr>
              <w:t>依托网易 AI 与通信能力的一站式智能客服 SaaS</w:t>
            </w:r>
          </w:p>
        </w:tc>
        <w:tc>
          <w:tcPr>
            <w:tcW w:w="2016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32BA8B1">
            <w:pPr>
              <w:spacing w:after="0" w:line="252" w:lineRule="auto"/>
              <w:jc w:val="left"/>
            </w:pPr>
            <w:r>
              <w:rPr>
                <w:rFonts w:ascii="Arial Unicode" w:hAnsi="Arial Unicode" w:eastAsia="Arial Unicode"/>
                <w:sz w:val="17"/>
              </w:rPr>
              <w:t>零售、游戏、互联网、汽车等中大型客户</w:t>
            </w:r>
          </w:p>
        </w:tc>
      </w:tr>
      <w:tr w14:paraId="34A3759B">
        <w:trPr>
          <w:jc w:val="center"/>
        </w:trPr>
        <w:tc>
          <w:tcPr>
            <w:tcW w:w="2016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EEF4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75FE52F">
            <w:pPr>
              <w:spacing w:after="0" w:line="252" w:lineRule="auto"/>
              <w:jc w:val="left"/>
            </w:pPr>
            <w:r>
              <w:rPr>
                <w:rFonts w:ascii="Arial Unicode" w:hAnsi="Arial Unicode" w:eastAsia="Arial Unicode"/>
                <w:sz w:val="17"/>
              </w:rPr>
              <w:t>美洽</w:t>
            </w:r>
          </w:p>
        </w:tc>
        <w:tc>
          <w:tcPr>
            <w:tcW w:w="2016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EEF4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7A6F4C1">
            <w:pPr>
              <w:spacing w:after="0" w:line="252" w:lineRule="auto"/>
              <w:jc w:val="left"/>
            </w:pPr>
            <w:r>
              <w:rPr>
                <w:rFonts w:ascii="Arial Unicode" w:hAnsi="Arial Unicode" w:eastAsia="Arial Unicode"/>
                <w:sz w:val="17"/>
              </w:rPr>
              <w:t>2014 年成立并推出产品</w:t>
            </w:r>
          </w:p>
        </w:tc>
        <w:tc>
          <w:tcPr>
            <w:tcW w:w="2016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EEF4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778DE57">
            <w:pPr>
              <w:spacing w:after="0" w:line="252" w:lineRule="auto"/>
              <w:jc w:val="left"/>
            </w:pPr>
            <w:r>
              <w:rPr>
                <w:rFonts w:ascii="Arial Unicode" w:hAnsi="Arial Unicode" w:eastAsia="Arial Unicode"/>
                <w:sz w:val="17"/>
              </w:rPr>
              <w:t>2015 年 A 轮 500 万美元；后续公开金额有限</w:t>
            </w:r>
          </w:p>
        </w:tc>
        <w:tc>
          <w:tcPr>
            <w:tcW w:w="2016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EEF4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5D0B1AA">
            <w:pPr>
              <w:spacing w:after="0" w:line="252" w:lineRule="auto"/>
              <w:jc w:val="left"/>
            </w:pPr>
            <w:r>
              <w:rPr>
                <w:rFonts w:ascii="Arial Unicode" w:hAnsi="Arial Unicode" w:eastAsia="Arial Unicode"/>
                <w:sz w:val="17"/>
              </w:rPr>
              <w:t>轻量在线客服与获客转化，强调快速接入和易用</w:t>
            </w:r>
          </w:p>
        </w:tc>
        <w:tc>
          <w:tcPr>
            <w:tcW w:w="2016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EEF4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E1C62D5">
            <w:pPr>
              <w:spacing w:after="0" w:line="252" w:lineRule="auto"/>
              <w:jc w:val="left"/>
            </w:pPr>
            <w:r>
              <w:rPr>
                <w:rFonts w:ascii="Arial Unicode" w:hAnsi="Arial Unicode" w:eastAsia="Arial Unicode"/>
                <w:sz w:val="17"/>
              </w:rPr>
              <w:t>中小企业、教育、医疗、电商和新媒体获客团队</w:t>
            </w:r>
          </w:p>
        </w:tc>
      </w:tr>
      <w:tr w14:paraId="00EE2B42">
        <w:trPr>
          <w:jc w:val="center"/>
        </w:trPr>
        <w:tc>
          <w:tcPr>
            <w:tcW w:w="2016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F8ACA3A">
            <w:pPr>
              <w:spacing w:after="0" w:line="252" w:lineRule="auto"/>
              <w:jc w:val="left"/>
            </w:pPr>
            <w:r>
              <w:rPr>
                <w:rFonts w:ascii="Arial Unicode" w:hAnsi="Arial Unicode" w:eastAsia="Arial Unicode"/>
                <w:sz w:val="17"/>
              </w:rPr>
              <w:t>腾讯云 TCCC 及客服大模型机器人</w:t>
            </w:r>
          </w:p>
        </w:tc>
        <w:tc>
          <w:tcPr>
            <w:tcW w:w="2016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FBD6418">
            <w:pPr>
              <w:spacing w:after="0" w:line="252" w:lineRule="auto"/>
              <w:jc w:val="left"/>
            </w:pPr>
            <w:r>
              <w:rPr>
                <w:rFonts w:ascii="Arial Unicode" w:hAnsi="Arial Unicode" w:eastAsia="Arial Unicode"/>
                <w:sz w:val="17"/>
              </w:rPr>
              <w:t>当前 TCCC 形态在 2022 年前后公开，首发时间未找到统一披露</w:t>
            </w:r>
          </w:p>
        </w:tc>
        <w:tc>
          <w:tcPr>
            <w:tcW w:w="2016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CED900E">
            <w:pPr>
              <w:spacing w:after="0" w:line="252" w:lineRule="auto"/>
              <w:jc w:val="left"/>
            </w:pPr>
            <w:r>
              <w:rPr>
                <w:rFonts w:ascii="Arial Unicode" w:hAnsi="Arial Unicode" w:eastAsia="Arial Unicode"/>
                <w:sz w:val="17"/>
              </w:rPr>
              <w:t>腾讯集团产品，无独立融资</w:t>
            </w:r>
          </w:p>
        </w:tc>
        <w:tc>
          <w:tcPr>
            <w:tcW w:w="2016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04BC118">
            <w:pPr>
              <w:spacing w:after="0" w:line="252" w:lineRule="auto"/>
              <w:jc w:val="left"/>
            </w:pPr>
            <w:r>
              <w:rPr>
                <w:rFonts w:ascii="Arial Unicode" w:hAnsi="Arial Unicode" w:eastAsia="Arial Unicode"/>
                <w:sz w:val="17"/>
              </w:rPr>
              <w:t>云通信底座加文本、语音智能体，强调 API 和腾讯生态</w:t>
            </w:r>
          </w:p>
        </w:tc>
        <w:tc>
          <w:tcPr>
            <w:tcW w:w="2016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F068386">
            <w:pPr>
              <w:spacing w:after="0" w:line="252" w:lineRule="auto"/>
              <w:jc w:val="left"/>
            </w:pPr>
            <w:r>
              <w:rPr>
                <w:rFonts w:ascii="Arial Unicode" w:hAnsi="Arial Unicode" w:eastAsia="Arial Unicode"/>
                <w:sz w:val="17"/>
              </w:rPr>
              <w:t>已上云企业、重视微信与企业微信生态的团队</w:t>
            </w:r>
          </w:p>
        </w:tc>
      </w:tr>
    </w:tbl>
    <w:p w14:paraId="459D711B">
      <w:pPr>
        <w:spacing w:after="20"/>
      </w:pPr>
    </w:p>
    <w:p w14:paraId="1B0F836E">
      <w:pPr>
        <w:pStyle w:val="3"/>
      </w:pPr>
      <w:r>
        <w:t>四 功能对比矩阵</w:t>
      </w:r>
    </w:p>
    <w:p w14:paraId="1C767C30">
      <w:r>
        <w:t>标记说明：● 已公开支持；◐ 部分支持、依赖组合产品或需单独采购；— 未找到明确公开证据。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80"/>
        <w:gridCol w:w="1680"/>
        <w:gridCol w:w="1680"/>
        <w:gridCol w:w="1680"/>
        <w:gridCol w:w="1680"/>
        <w:gridCol w:w="1680"/>
      </w:tblGrid>
      <w:tr w14:paraId="420EC23A">
        <w:trPr>
          <w:tblHeader/>
          <w:jc w:val="center"/>
        </w:trPr>
        <w:tc>
          <w:tcPr>
            <w:tcW w:w="168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1F4E7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BF752B8">
            <w:pPr>
              <w:spacing w:after="0" w:line="252" w:lineRule="auto"/>
              <w:jc w:val="left"/>
            </w:pPr>
            <w:r>
              <w:rPr>
                <w:rFonts w:ascii="Arial Unicode" w:hAnsi="Arial Unicode" w:eastAsia="Arial Unicode"/>
                <w:b/>
                <w:color w:val="FFFFFF"/>
                <w:sz w:val="16"/>
              </w:rPr>
              <w:t>功能点</w:t>
            </w:r>
          </w:p>
        </w:tc>
        <w:tc>
          <w:tcPr>
            <w:tcW w:w="168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1F4E7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B911080">
            <w:pPr>
              <w:spacing w:after="0" w:line="252" w:lineRule="auto"/>
              <w:jc w:val="center"/>
            </w:pPr>
            <w:r>
              <w:rPr>
                <w:rFonts w:ascii="Arial Unicode" w:hAnsi="Arial Unicode" w:eastAsia="Arial Unicode"/>
                <w:b/>
                <w:color w:val="FFFFFF"/>
                <w:sz w:val="16"/>
              </w:rPr>
              <w:t>Udesk</w:t>
            </w:r>
          </w:p>
        </w:tc>
        <w:tc>
          <w:tcPr>
            <w:tcW w:w="168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1F4E7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9670AFC">
            <w:pPr>
              <w:spacing w:after="0" w:line="252" w:lineRule="auto"/>
              <w:jc w:val="center"/>
            </w:pPr>
            <w:r>
              <w:rPr>
                <w:rFonts w:ascii="Arial Unicode" w:hAnsi="Arial Unicode" w:eastAsia="Arial Unicode"/>
                <w:b/>
                <w:color w:val="FFFFFF"/>
                <w:sz w:val="16"/>
              </w:rPr>
              <w:t>智齿</w:t>
            </w:r>
          </w:p>
        </w:tc>
        <w:tc>
          <w:tcPr>
            <w:tcW w:w="168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1F4E7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A3FEBF1">
            <w:pPr>
              <w:spacing w:after="0" w:line="252" w:lineRule="auto"/>
              <w:jc w:val="center"/>
            </w:pPr>
            <w:r>
              <w:rPr>
                <w:rFonts w:ascii="Arial Unicode" w:hAnsi="Arial Unicode" w:eastAsia="Arial Unicode"/>
                <w:b/>
                <w:color w:val="FFFFFF"/>
                <w:sz w:val="16"/>
              </w:rPr>
              <w:t>网易七鱼</w:t>
            </w:r>
          </w:p>
        </w:tc>
        <w:tc>
          <w:tcPr>
            <w:tcW w:w="168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1F4E7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269573C">
            <w:pPr>
              <w:spacing w:after="0" w:line="252" w:lineRule="auto"/>
              <w:jc w:val="center"/>
            </w:pPr>
            <w:r>
              <w:rPr>
                <w:rFonts w:ascii="Arial Unicode" w:hAnsi="Arial Unicode" w:eastAsia="Arial Unicode"/>
                <w:b/>
                <w:color w:val="FFFFFF"/>
                <w:sz w:val="16"/>
              </w:rPr>
              <w:t>美洽</w:t>
            </w:r>
          </w:p>
        </w:tc>
        <w:tc>
          <w:tcPr>
            <w:tcW w:w="168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1F4E7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1BA2C40">
            <w:pPr>
              <w:spacing w:after="0" w:line="252" w:lineRule="auto"/>
              <w:jc w:val="center"/>
            </w:pPr>
            <w:r>
              <w:rPr>
                <w:rFonts w:ascii="Arial Unicode" w:hAnsi="Arial Unicode" w:eastAsia="Arial Unicode"/>
                <w:b/>
                <w:color w:val="FFFFFF"/>
                <w:sz w:val="16"/>
              </w:rPr>
              <w:t>腾讯云 TCCC</w:t>
            </w:r>
          </w:p>
        </w:tc>
      </w:tr>
      <w:tr w14:paraId="072E3736">
        <w:trPr>
          <w:jc w:val="center"/>
        </w:trPr>
        <w:tc>
          <w:tcPr>
            <w:tcW w:w="168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3CFC3C4">
            <w:pPr>
              <w:spacing w:after="0" w:line="252" w:lineRule="auto"/>
              <w:jc w:val="left"/>
            </w:pPr>
            <w:r>
              <w:rPr>
                <w:rFonts w:ascii="Arial Unicode" w:hAnsi="Arial Unicode" w:eastAsia="Arial Unicode"/>
                <w:sz w:val="16"/>
              </w:rPr>
              <w:t>Web、App、微信等全渠道接入</w:t>
            </w:r>
          </w:p>
        </w:tc>
        <w:tc>
          <w:tcPr>
            <w:tcW w:w="168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37022FA">
            <w:pPr>
              <w:spacing w:after="0" w:line="252" w:lineRule="auto"/>
              <w:jc w:val="center"/>
            </w:pPr>
            <w:r>
              <w:rPr>
                <w:rFonts w:ascii="Arial Unicode" w:hAnsi="Arial Unicode" w:eastAsia="Arial Unicode"/>
                <w:sz w:val="16"/>
              </w:rPr>
              <w:t>●</w:t>
            </w:r>
          </w:p>
        </w:tc>
        <w:tc>
          <w:tcPr>
            <w:tcW w:w="168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FE2E28B">
            <w:pPr>
              <w:spacing w:after="0" w:line="252" w:lineRule="auto"/>
              <w:jc w:val="center"/>
            </w:pPr>
            <w:r>
              <w:rPr>
                <w:rFonts w:ascii="Arial Unicode" w:hAnsi="Arial Unicode" w:eastAsia="Arial Unicode"/>
                <w:sz w:val="16"/>
              </w:rPr>
              <w:t>●</w:t>
            </w:r>
          </w:p>
        </w:tc>
        <w:tc>
          <w:tcPr>
            <w:tcW w:w="168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B4185F7">
            <w:pPr>
              <w:spacing w:after="0" w:line="252" w:lineRule="auto"/>
              <w:jc w:val="center"/>
            </w:pPr>
            <w:r>
              <w:rPr>
                <w:rFonts w:ascii="Arial Unicode" w:hAnsi="Arial Unicode" w:eastAsia="Arial Unicode"/>
                <w:sz w:val="16"/>
              </w:rPr>
              <w:t>●</w:t>
            </w:r>
          </w:p>
        </w:tc>
        <w:tc>
          <w:tcPr>
            <w:tcW w:w="168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4B44D66">
            <w:pPr>
              <w:spacing w:after="0" w:line="252" w:lineRule="auto"/>
              <w:jc w:val="center"/>
            </w:pPr>
            <w:r>
              <w:rPr>
                <w:rFonts w:ascii="Arial Unicode" w:hAnsi="Arial Unicode" w:eastAsia="Arial Unicode"/>
                <w:sz w:val="16"/>
              </w:rPr>
              <w:t>●</w:t>
            </w:r>
          </w:p>
        </w:tc>
        <w:tc>
          <w:tcPr>
            <w:tcW w:w="168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986D554">
            <w:pPr>
              <w:spacing w:after="0" w:line="252" w:lineRule="auto"/>
              <w:jc w:val="center"/>
            </w:pPr>
            <w:r>
              <w:rPr>
                <w:rFonts w:ascii="Arial Unicode" w:hAnsi="Arial Unicode" w:eastAsia="Arial Unicode"/>
                <w:sz w:val="16"/>
              </w:rPr>
              <w:t>●</w:t>
            </w:r>
          </w:p>
        </w:tc>
      </w:tr>
      <w:tr w14:paraId="75B25416">
        <w:trPr>
          <w:jc w:val="center"/>
        </w:trPr>
        <w:tc>
          <w:tcPr>
            <w:tcW w:w="168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EEF4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9B33F75">
            <w:pPr>
              <w:spacing w:after="0" w:line="252" w:lineRule="auto"/>
              <w:jc w:val="left"/>
            </w:pPr>
            <w:r>
              <w:rPr>
                <w:rFonts w:ascii="Arial Unicode" w:hAnsi="Arial Unicode" w:eastAsia="Arial Unicode"/>
                <w:sz w:val="16"/>
              </w:rPr>
              <w:t>在线人工坐席与智能分配</w:t>
            </w:r>
          </w:p>
        </w:tc>
        <w:tc>
          <w:tcPr>
            <w:tcW w:w="168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EEF4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5A0C3B2">
            <w:pPr>
              <w:spacing w:after="0" w:line="252" w:lineRule="auto"/>
              <w:jc w:val="center"/>
            </w:pPr>
            <w:r>
              <w:rPr>
                <w:rFonts w:ascii="Arial Unicode" w:hAnsi="Arial Unicode" w:eastAsia="Arial Unicode"/>
                <w:sz w:val="16"/>
              </w:rPr>
              <w:t>●</w:t>
            </w:r>
          </w:p>
        </w:tc>
        <w:tc>
          <w:tcPr>
            <w:tcW w:w="168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EEF4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848687B">
            <w:pPr>
              <w:spacing w:after="0" w:line="252" w:lineRule="auto"/>
              <w:jc w:val="center"/>
            </w:pPr>
            <w:r>
              <w:rPr>
                <w:rFonts w:ascii="Arial Unicode" w:hAnsi="Arial Unicode" w:eastAsia="Arial Unicode"/>
                <w:sz w:val="16"/>
              </w:rPr>
              <w:t>●</w:t>
            </w:r>
          </w:p>
        </w:tc>
        <w:tc>
          <w:tcPr>
            <w:tcW w:w="168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EEF4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B8050F8">
            <w:pPr>
              <w:spacing w:after="0" w:line="252" w:lineRule="auto"/>
              <w:jc w:val="center"/>
            </w:pPr>
            <w:r>
              <w:rPr>
                <w:rFonts w:ascii="Arial Unicode" w:hAnsi="Arial Unicode" w:eastAsia="Arial Unicode"/>
                <w:sz w:val="16"/>
              </w:rPr>
              <w:t>●</w:t>
            </w:r>
          </w:p>
        </w:tc>
        <w:tc>
          <w:tcPr>
            <w:tcW w:w="168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EEF4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3E18902">
            <w:pPr>
              <w:spacing w:after="0" w:line="252" w:lineRule="auto"/>
              <w:jc w:val="center"/>
            </w:pPr>
            <w:r>
              <w:rPr>
                <w:rFonts w:ascii="Arial Unicode" w:hAnsi="Arial Unicode" w:eastAsia="Arial Unicode"/>
                <w:sz w:val="16"/>
              </w:rPr>
              <w:t>●</w:t>
            </w:r>
          </w:p>
        </w:tc>
        <w:tc>
          <w:tcPr>
            <w:tcW w:w="168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EEF4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AA3C4D7">
            <w:pPr>
              <w:spacing w:after="0" w:line="252" w:lineRule="auto"/>
              <w:jc w:val="center"/>
            </w:pPr>
            <w:r>
              <w:rPr>
                <w:rFonts w:ascii="Arial Unicode" w:hAnsi="Arial Unicode" w:eastAsia="Arial Unicode"/>
                <w:sz w:val="16"/>
              </w:rPr>
              <w:t>●</w:t>
            </w:r>
          </w:p>
        </w:tc>
      </w:tr>
      <w:tr w14:paraId="67EF12AE">
        <w:trPr>
          <w:jc w:val="center"/>
        </w:trPr>
        <w:tc>
          <w:tcPr>
            <w:tcW w:w="168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ED68ED3">
            <w:pPr>
              <w:spacing w:after="0" w:line="252" w:lineRule="auto"/>
              <w:jc w:val="left"/>
            </w:pPr>
            <w:r>
              <w:rPr>
                <w:rFonts w:ascii="Arial Unicode" w:hAnsi="Arial Unicode" w:eastAsia="Arial Unicode"/>
                <w:sz w:val="16"/>
              </w:rPr>
              <w:t>文本机器人与 7×24 接待</w:t>
            </w:r>
          </w:p>
        </w:tc>
        <w:tc>
          <w:tcPr>
            <w:tcW w:w="168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BB1AED1">
            <w:pPr>
              <w:spacing w:after="0" w:line="252" w:lineRule="auto"/>
              <w:jc w:val="center"/>
            </w:pPr>
            <w:r>
              <w:rPr>
                <w:rFonts w:ascii="Arial Unicode" w:hAnsi="Arial Unicode" w:eastAsia="Arial Unicode"/>
                <w:sz w:val="16"/>
              </w:rPr>
              <w:t>●</w:t>
            </w:r>
          </w:p>
        </w:tc>
        <w:tc>
          <w:tcPr>
            <w:tcW w:w="168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100B2D0">
            <w:pPr>
              <w:spacing w:after="0" w:line="252" w:lineRule="auto"/>
              <w:jc w:val="center"/>
            </w:pPr>
            <w:r>
              <w:rPr>
                <w:rFonts w:ascii="Arial Unicode" w:hAnsi="Arial Unicode" w:eastAsia="Arial Unicode"/>
                <w:sz w:val="16"/>
              </w:rPr>
              <w:t>●</w:t>
            </w:r>
          </w:p>
        </w:tc>
        <w:tc>
          <w:tcPr>
            <w:tcW w:w="168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7680CC6">
            <w:pPr>
              <w:spacing w:after="0" w:line="252" w:lineRule="auto"/>
              <w:jc w:val="center"/>
            </w:pPr>
            <w:r>
              <w:rPr>
                <w:rFonts w:ascii="Arial Unicode" w:hAnsi="Arial Unicode" w:eastAsia="Arial Unicode"/>
                <w:sz w:val="16"/>
              </w:rPr>
              <w:t>●</w:t>
            </w:r>
          </w:p>
        </w:tc>
        <w:tc>
          <w:tcPr>
            <w:tcW w:w="168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337338D">
            <w:pPr>
              <w:spacing w:after="0" w:line="252" w:lineRule="auto"/>
              <w:jc w:val="center"/>
            </w:pPr>
            <w:r>
              <w:rPr>
                <w:rFonts w:ascii="Arial Unicode" w:hAnsi="Arial Unicode" w:eastAsia="Arial Unicode"/>
                <w:sz w:val="16"/>
              </w:rPr>
              <w:t>●</w:t>
            </w:r>
          </w:p>
        </w:tc>
        <w:tc>
          <w:tcPr>
            <w:tcW w:w="168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54D7AA9">
            <w:pPr>
              <w:spacing w:after="0" w:line="252" w:lineRule="auto"/>
              <w:jc w:val="center"/>
            </w:pPr>
            <w:r>
              <w:rPr>
                <w:rFonts w:ascii="Arial Unicode" w:hAnsi="Arial Unicode" w:eastAsia="Arial Unicode"/>
                <w:sz w:val="16"/>
              </w:rPr>
              <w:t>●</w:t>
            </w:r>
          </w:p>
        </w:tc>
      </w:tr>
      <w:tr w14:paraId="49A9BD98">
        <w:trPr>
          <w:jc w:val="center"/>
        </w:trPr>
        <w:tc>
          <w:tcPr>
            <w:tcW w:w="168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EEF4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DB43431">
            <w:pPr>
              <w:spacing w:after="0" w:line="252" w:lineRule="auto"/>
              <w:jc w:val="left"/>
            </w:pPr>
            <w:r>
              <w:rPr>
                <w:rFonts w:ascii="Arial Unicode" w:hAnsi="Arial Unicode" w:eastAsia="Arial Unicode"/>
                <w:sz w:val="16"/>
              </w:rPr>
              <w:t>大模型生成式问答</w:t>
            </w:r>
          </w:p>
        </w:tc>
        <w:tc>
          <w:tcPr>
            <w:tcW w:w="168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EEF4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7FA8E89">
            <w:pPr>
              <w:spacing w:after="0" w:line="252" w:lineRule="auto"/>
              <w:jc w:val="center"/>
            </w:pPr>
            <w:r>
              <w:rPr>
                <w:rFonts w:ascii="Arial Unicode" w:hAnsi="Arial Unicode" w:eastAsia="Arial Unicode"/>
                <w:sz w:val="16"/>
              </w:rPr>
              <w:t>●</w:t>
            </w:r>
          </w:p>
        </w:tc>
        <w:tc>
          <w:tcPr>
            <w:tcW w:w="168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EEF4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7F0A745">
            <w:pPr>
              <w:spacing w:after="0" w:line="252" w:lineRule="auto"/>
              <w:jc w:val="center"/>
            </w:pPr>
            <w:r>
              <w:rPr>
                <w:rFonts w:ascii="Arial Unicode" w:hAnsi="Arial Unicode" w:eastAsia="Arial Unicode"/>
                <w:sz w:val="16"/>
              </w:rPr>
              <w:t>●</w:t>
            </w:r>
          </w:p>
        </w:tc>
        <w:tc>
          <w:tcPr>
            <w:tcW w:w="168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EEF4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DDAC389">
            <w:pPr>
              <w:spacing w:after="0" w:line="252" w:lineRule="auto"/>
              <w:jc w:val="center"/>
            </w:pPr>
            <w:r>
              <w:rPr>
                <w:rFonts w:ascii="Arial Unicode" w:hAnsi="Arial Unicode" w:eastAsia="Arial Unicode"/>
                <w:sz w:val="16"/>
              </w:rPr>
              <w:t>●</w:t>
            </w:r>
          </w:p>
        </w:tc>
        <w:tc>
          <w:tcPr>
            <w:tcW w:w="168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EEF4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A3BAA6F">
            <w:pPr>
              <w:spacing w:after="0" w:line="252" w:lineRule="auto"/>
              <w:jc w:val="center"/>
            </w:pPr>
            <w:r>
              <w:rPr>
                <w:rFonts w:ascii="Arial Unicode" w:hAnsi="Arial Unicode" w:eastAsia="Arial Unicode"/>
                <w:sz w:val="16"/>
              </w:rPr>
              <w:t>●</w:t>
            </w:r>
          </w:p>
        </w:tc>
        <w:tc>
          <w:tcPr>
            <w:tcW w:w="168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EEF4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62EE4AB">
            <w:pPr>
              <w:spacing w:after="0" w:line="252" w:lineRule="auto"/>
              <w:jc w:val="center"/>
            </w:pPr>
            <w:r>
              <w:rPr>
                <w:rFonts w:ascii="Arial Unicode" w:hAnsi="Arial Unicode" w:eastAsia="Arial Unicode"/>
                <w:sz w:val="16"/>
              </w:rPr>
              <w:t>●</w:t>
            </w:r>
          </w:p>
        </w:tc>
      </w:tr>
      <w:tr w14:paraId="53CB149E">
        <w:trPr>
          <w:jc w:val="center"/>
        </w:trPr>
        <w:tc>
          <w:tcPr>
            <w:tcW w:w="168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5CFF3B4">
            <w:pPr>
              <w:spacing w:after="0" w:line="252" w:lineRule="auto"/>
              <w:jc w:val="left"/>
            </w:pPr>
            <w:r>
              <w:rPr>
                <w:rFonts w:ascii="Arial Unicode" w:hAnsi="Arial Unicode" w:eastAsia="Arial Unicode"/>
                <w:sz w:val="16"/>
              </w:rPr>
              <w:t>多轮对话与上下文理解</w:t>
            </w:r>
          </w:p>
        </w:tc>
        <w:tc>
          <w:tcPr>
            <w:tcW w:w="168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99C18E7">
            <w:pPr>
              <w:spacing w:after="0" w:line="252" w:lineRule="auto"/>
              <w:jc w:val="center"/>
            </w:pPr>
            <w:r>
              <w:rPr>
                <w:rFonts w:ascii="Arial Unicode" w:hAnsi="Arial Unicode" w:eastAsia="Arial Unicode"/>
                <w:sz w:val="16"/>
              </w:rPr>
              <w:t>●</w:t>
            </w:r>
          </w:p>
        </w:tc>
        <w:tc>
          <w:tcPr>
            <w:tcW w:w="168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A6C75BC">
            <w:pPr>
              <w:spacing w:after="0" w:line="252" w:lineRule="auto"/>
              <w:jc w:val="center"/>
            </w:pPr>
            <w:r>
              <w:rPr>
                <w:rFonts w:ascii="Arial Unicode" w:hAnsi="Arial Unicode" w:eastAsia="Arial Unicode"/>
                <w:sz w:val="16"/>
              </w:rPr>
              <w:t>●</w:t>
            </w:r>
          </w:p>
        </w:tc>
        <w:tc>
          <w:tcPr>
            <w:tcW w:w="168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0A37257">
            <w:pPr>
              <w:spacing w:after="0" w:line="252" w:lineRule="auto"/>
              <w:jc w:val="center"/>
            </w:pPr>
            <w:r>
              <w:rPr>
                <w:rFonts w:ascii="Arial Unicode" w:hAnsi="Arial Unicode" w:eastAsia="Arial Unicode"/>
                <w:sz w:val="16"/>
              </w:rPr>
              <w:t>●</w:t>
            </w:r>
          </w:p>
        </w:tc>
        <w:tc>
          <w:tcPr>
            <w:tcW w:w="168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B3BE6D3">
            <w:pPr>
              <w:spacing w:after="0" w:line="252" w:lineRule="auto"/>
              <w:jc w:val="center"/>
            </w:pPr>
            <w:r>
              <w:rPr>
                <w:rFonts w:ascii="Arial Unicode" w:hAnsi="Arial Unicode" w:eastAsia="Arial Unicode"/>
                <w:sz w:val="16"/>
              </w:rPr>
              <w:t>●</w:t>
            </w:r>
          </w:p>
        </w:tc>
        <w:tc>
          <w:tcPr>
            <w:tcW w:w="168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498F630">
            <w:pPr>
              <w:spacing w:after="0" w:line="252" w:lineRule="auto"/>
              <w:jc w:val="center"/>
            </w:pPr>
            <w:r>
              <w:rPr>
                <w:rFonts w:ascii="Arial Unicode" w:hAnsi="Arial Unicode" w:eastAsia="Arial Unicode"/>
                <w:sz w:val="16"/>
              </w:rPr>
              <w:t>●</w:t>
            </w:r>
          </w:p>
        </w:tc>
      </w:tr>
      <w:tr w14:paraId="745B967F">
        <w:trPr>
          <w:jc w:val="center"/>
        </w:trPr>
        <w:tc>
          <w:tcPr>
            <w:tcW w:w="168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EEF4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C2C9641">
            <w:pPr>
              <w:spacing w:after="0" w:line="252" w:lineRule="auto"/>
              <w:jc w:val="left"/>
            </w:pPr>
            <w:r>
              <w:rPr>
                <w:rFonts w:ascii="Arial Unicode" w:hAnsi="Arial Unicode" w:eastAsia="Arial Unicode"/>
                <w:sz w:val="16"/>
              </w:rPr>
              <w:t>企业知识库及 RAG 检索</w:t>
            </w:r>
          </w:p>
        </w:tc>
        <w:tc>
          <w:tcPr>
            <w:tcW w:w="168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EEF4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D00B22B">
            <w:pPr>
              <w:spacing w:after="0" w:line="252" w:lineRule="auto"/>
              <w:jc w:val="center"/>
            </w:pPr>
            <w:r>
              <w:rPr>
                <w:rFonts w:ascii="Arial Unicode" w:hAnsi="Arial Unicode" w:eastAsia="Arial Unicode"/>
                <w:sz w:val="16"/>
              </w:rPr>
              <w:t>●</w:t>
            </w:r>
          </w:p>
        </w:tc>
        <w:tc>
          <w:tcPr>
            <w:tcW w:w="168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EEF4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2D798D9">
            <w:pPr>
              <w:spacing w:after="0" w:line="252" w:lineRule="auto"/>
              <w:jc w:val="center"/>
            </w:pPr>
            <w:r>
              <w:rPr>
                <w:rFonts w:ascii="Arial Unicode" w:hAnsi="Arial Unicode" w:eastAsia="Arial Unicode"/>
                <w:sz w:val="16"/>
              </w:rPr>
              <w:t>●</w:t>
            </w:r>
          </w:p>
        </w:tc>
        <w:tc>
          <w:tcPr>
            <w:tcW w:w="168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EEF4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5D31619">
            <w:pPr>
              <w:spacing w:after="0" w:line="252" w:lineRule="auto"/>
              <w:jc w:val="center"/>
            </w:pPr>
            <w:r>
              <w:rPr>
                <w:rFonts w:ascii="Arial Unicode" w:hAnsi="Arial Unicode" w:eastAsia="Arial Unicode"/>
                <w:sz w:val="16"/>
              </w:rPr>
              <w:t>●</w:t>
            </w:r>
          </w:p>
        </w:tc>
        <w:tc>
          <w:tcPr>
            <w:tcW w:w="168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EEF4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BD9B887">
            <w:pPr>
              <w:spacing w:after="0" w:line="252" w:lineRule="auto"/>
              <w:jc w:val="center"/>
            </w:pPr>
            <w:r>
              <w:rPr>
                <w:rFonts w:ascii="Arial Unicode" w:hAnsi="Arial Unicode" w:eastAsia="Arial Unicode"/>
                <w:sz w:val="16"/>
              </w:rPr>
              <w:t>●</w:t>
            </w:r>
          </w:p>
        </w:tc>
        <w:tc>
          <w:tcPr>
            <w:tcW w:w="168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EEF4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DA4D8AD">
            <w:pPr>
              <w:spacing w:after="0" w:line="252" w:lineRule="auto"/>
              <w:jc w:val="center"/>
            </w:pPr>
            <w:r>
              <w:rPr>
                <w:rFonts w:ascii="Arial Unicode" w:hAnsi="Arial Unicode" w:eastAsia="Arial Unicode"/>
                <w:sz w:val="16"/>
              </w:rPr>
              <w:t>●</w:t>
            </w:r>
          </w:p>
        </w:tc>
      </w:tr>
      <w:tr w14:paraId="62FC47FB">
        <w:trPr>
          <w:jc w:val="center"/>
        </w:trPr>
        <w:tc>
          <w:tcPr>
            <w:tcW w:w="168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6AEC11D">
            <w:pPr>
              <w:spacing w:after="0" w:line="252" w:lineRule="auto"/>
              <w:jc w:val="left"/>
            </w:pPr>
            <w:r>
              <w:rPr>
                <w:rFonts w:ascii="Arial Unicode" w:hAnsi="Arial Unicode" w:eastAsia="Arial Unicode"/>
                <w:sz w:val="16"/>
              </w:rPr>
              <w:t>呼叫中心及语音机器人</w:t>
            </w:r>
          </w:p>
        </w:tc>
        <w:tc>
          <w:tcPr>
            <w:tcW w:w="168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61E4520">
            <w:pPr>
              <w:spacing w:after="0" w:line="252" w:lineRule="auto"/>
              <w:jc w:val="center"/>
            </w:pPr>
            <w:r>
              <w:rPr>
                <w:rFonts w:ascii="Arial Unicode" w:hAnsi="Arial Unicode" w:eastAsia="Arial Unicode"/>
                <w:sz w:val="16"/>
              </w:rPr>
              <w:t>●</w:t>
            </w:r>
          </w:p>
        </w:tc>
        <w:tc>
          <w:tcPr>
            <w:tcW w:w="168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6845E72">
            <w:pPr>
              <w:spacing w:after="0" w:line="252" w:lineRule="auto"/>
              <w:jc w:val="center"/>
            </w:pPr>
            <w:r>
              <w:rPr>
                <w:rFonts w:ascii="Arial Unicode" w:hAnsi="Arial Unicode" w:eastAsia="Arial Unicode"/>
                <w:sz w:val="16"/>
              </w:rPr>
              <w:t>●</w:t>
            </w:r>
          </w:p>
        </w:tc>
        <w:tc>
          <w:tcPr>
            <w:tcW w:w="168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6DE2D4C">
            <w:pPr>
              <w:spacing w:after="0" w:line="252" w:lineRule="auto"/>
              <w:jc w:val="center"/>
            </w:pPr>
            <w:r>
              <w:rPr>
                <w:rFonts w:ascii="Arial Unicode" w:hAnsi="Arial Unicode" w:eastAsia="Arial Unicode"/>
                <w:sz w:val="16"/>
              </w:rPr>
              <w:t>●</w:t>
            </w:r>
          </w:p>
        </w:tc>
        <w:tc>
          <w:tcPr>
            <w:tcW w:w="168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09740CF">
            <w:pPr>
              <w:spacing w:after="0" w:line="252" w:lineRule="auto"/>
              <w:jc w:val="center"/>
            </w:pPr>
            <w:r>
              <w:rPr>
                <w:rFonts w:ascii="Arial Unicode" w:hAnsi="Arial Unicode" w:eastAsia="Arial Unicode"/>
                <w:sz w:val="16"/>
              </w:rPr>
              <w:t>●</w:t>
            </w:r>
          </w:p>
        </w:tc>
        <w:tc>
          <w:tcPr>
            <w:tcW w:w="168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D7A279B">
            <w:pPr>
              <w:spacing w:after="0" w:line="252" w:lineRule="auto"/>
              <w:jc w:val="center"/>
            </w:pPr>
            <w:r>
              <w:rPr>
                <w:rFonts w:ascii="Arial Unicode" w:hAnsi="Arial Unicode" w:eastAsia="Arial Unicode"/>
                <w:sz w:val="16"/>
              </w:rPr>
              <w:t>●</w:t>
            </w:r>
          </w:p>
        </w:tc>
      </w:tr>
      <w:tr w14:paraId="62D7ECC7">
        <w:trPr>
          <w:jc w:val="center"/>
        </w:trPr>
        <w:tc>
          <w:tcPr>
            <w:tcW w:w="168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EEF4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003E98B">
            <w:pPr>
              <w:spacing w:after="0" w:line="252" w:lineRule="auto"/>
              <w:jc w:val="left"/>
            </w:pPr>
            <w:r>
              <w:rPr>
                <w:rFonts w:ascii="Arial Unicode" w:hAnsi="Arial Unicode" w:eastAsia="Arial Unicode"/>
                <w:sz w:val="16"/>
              </w:rPr>
              <w:t>工单流转与跨部门协作</w:t>
            </w:r>
          </w:p>
        </w:tc>
        <w:tc>
          <w:tcPr>
            <w:tcW w:w="168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EEF4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9EE5F39">
            <w:pPr>
              <w:spacing w:after="0" w:line="252" w:lineRule="auto"/>
              <w:jc w:val="center"/>
            </w:pPr>
            <w:r>
              <w:rPr>
                <w:rFonts w:ascii="Arial Unicode" w:hAnsi="Arial Unicode" w:eastAsia="Arial Unicode"/>
                <w:sz w:val="16"/>
              </w:rPr>
              <w:t>●</w:t>
            </w:r>
          </w:p>
        </w:tc>
        <w:tc>
          <w:tcPr>
            <w:tcW w:w="168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EEF4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2F681B7">
            <w:pPr>
              <w:spacing w:after="0" w:line="252" w:lineRule="auto"/>
              <w:jc w:val="center"/>
            </w:pPr>
            <w:r>
              <w:rPr>
                <w:rFonts w:ascii="Arial Unicode" w:hAnsi="Arial Unicode" w:eastAsia="Arial Unicode"/>
                <w:sz w:val="16"/>
              </w:rPr>
              <w:t>●</w:t>
            </w:r>
          </w:p>
        </w:tc>
        <w:tc>
          <w:tcPr>
            <w:tcW w:w="168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EEF4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9684C3F">
            <w:pPr>
              <w:spacing w:after="0" w:line="252" w:lineRule="auto"/>
              <w:jc w:val="center"/>
            </w:pPr>
            <w:r>
              <w:rPr>
                <w:rFonts w:ascii="Arial Unicode" w:hAnsi="Arial Unicode" w:eastAsia="Arial Unicode"/>
                <w:sz w:val="16"/>
              </w:rPr>
              <w:t>●</w:t>
            </w:r>
          </w:p>
        </w:tc>
        <w:tc>
          <w:tcPr>
            <w:tcW w:w="168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EEF4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58DD541">
            <w:pPr>
              <w:spacing w:after="0" w:line="252" w:lineRule="auto"/>
              <w:jc w:val="center"/>
            </w:pPr>
            <w:r>
              <w:rPr>
                <w:rFonts w:ascii="Arial Unicode" w:hAnsi="Arial Unicode" w:eastAsia="Arial Unicode"/>
                <w:sz w:val="16"/>
              </w:rPr>
              <w:t>●</w:t>
            </w:r>
          </w:p>
        </w:tc>
        <w:tc>
          <w:tcPr>
            <w:tcW w:w="168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EEF4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E9F9DF0">
            <w:pPr>
              <w:spacing w:after="0" w:line="252" w:lineRule="auto"/>
              <w:jc w:val="center"/>
            </w:pPr>
            <w:r>
              <w:rPr>
                <w:rFonts w:ascii="Arial Unicode" w:hAnsi="Arial Unicode" w:eastAsia="Arial Unicode"/>
                <w:sz w:val="16"/>
              </w:rPr>
              <w:t>◐</w:t>
            </w:r>
          </w:p>
        </w:tc>
      </w:tr>
      <w:tr w14:paraId="2121CCC1">
        <w:trPr>
          <w:jc w:val="center"/>
        </w:trPr>
        <w:tc>
          <w:tcPr>
            <w:tcW w:w="168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E277F61">
            <w:pPr>
              <w:spacing w:after="0" w:line="252" w:lineRule="auto"/>
              <w:jc w:val="left"/>
            </w:pPr>
            <w:r>
              <w:rPr>
                <w:rFonts w:ascii="Arial Unicode" w:hAnsi="Arial Unicode" w:eastAsia="Arial Unicode"/>
                <w:sz w:val="16"/>
              </w:rPr>
              <w:t>视频客服</w:t>
            </w:r>
          </w:p>
        </w:tc>
        <w:tc>
          <w:tcPr>
            <w:tcW w:w="168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628C102">
            <w:pPr>
              <w:spacing w:after="0" w:line="252" w:lineRule="auto"/>
              <w:jc w:val="center"/>
            </w:pPr>
            <w:r>
              <w:rPr>
                <w:rFonts w:ascii="Arial Unicode" w:hAnsi="Arial Unicode" w:eastAsia="Arial Unicode"/>
                <w:sz w:val="16"/>
              </w:rPr>
              <w:t>●</w:t>
            </w:r>
          </w:p>
        </w:tc>
        <w:tc>
          <w:tcPr>
            <w:tcW w:w="168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E99571C">
            <w:pPr>
              <w:spacing w:after="0" w:line="252" w:lineRule="auto"/>
              <w:jc w:val="center"/>
            </w:pPr>
            <w:r>
              <w:rPr>
                <w:rFonts w:ascii="Arial Unicode" w:hAnsi="Arial Unicode" w:eastAsia="Arial Unicode"/>
                <w:sz w:val="16"/>
              </w:rPr>
              <w:t>◐</w:t>
            </w:r>
          </w:p>
        </w:tc>
        <w:tc>
          <w:tcPr>
            <w:tcW w:w="168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102631B">
            <w:pPr>
              <w:spacing w:after="0" w:line="252" w:lineRule="auto"/>
              <w:jc w:val="center"/>
            </w:pPr>
            <w:r>
              <w:rPr>
                <w:rFonts w:ascii="Arial Unicode" w:hAnsi="Arial Unicode" w:eastAsia="Arial Unicode"/>
                <w:sz w:val="16"/>
              </w:rPr>
              <w:t>●</w:t>
            </w:r>
          </w:p>
        </w:tc>
        <w:tc>
          <w:tcPr>
            <w:tcW w:w="168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BA36570">
            <w:pPr>
              <w:spacing w:after="0" w:line="252" w:lineRule="auto"/>
              <w:jc w:val="center"/>
            </w:pPr>
            <w:r>
              <w:rPr>
                <w:rFonts w:ascii="Arial Unicode" w:hAnsi="Arial Unicode" w:eastAsia="Arial Unicode"/>
                <w:sz w:val="16"/>
              </w:rPr>
              <w:t>—</w:t>
            </w:r>
          </w:p>
        </w:tc>
        <w:tc>
          <w:tcPr>
            <w:tcW w:w="168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87C5EA4">
            <w:pPr>
              <w:spacing w:after="0" w:line="252" w:lineRule="auto"/>
              <w:jc w:val="center"/>
            </w:pPr>
            <w:r>
              <w:rPr>
                <w:rFonts w:ascii="Arial Unicode" w:hAnsi="Arial Unicode" w:eastAsia="Arial Unicode"/>
                <w:sz w:val="16"/>
              </w:rPr>
              <w:t>●</w:t>
            </w:r>
          </w:p>
        </w:tc>
      </w:tr>
      <w:tr w14:paraId="7C659FC9">
        <w:trPr>
          <w:jc w:val="center"/>
        </w:trPr>
        <w:tc>
          <w:tcPr>
            <w:tcW w:w="168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EEF4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8A85C6F">
            <w:pPr>
              <w:spacing w:after="0" w:line="252" w:lineRule="auto"/>
              <w:jc w:val="left"/>
            </w:pPr>
            <w:r>
              <w:rPr>
                <w:rFonts w:ascii="Arial Unicode" w:hAnsi="Arial Unicode" w:eastAsia="Arial Unicode"/>
                <w:sz w:val="16"/>
              </w:rPr>
              <w:t>坐席 AI 辅助与推荐回复</w:t>
            </w:r>
          </w:p>
        </w:tc>
        <w:tc>
          <w:tcPr>
            <w:tcW w:w="168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EEF4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FFE76BA">
            <w:pPr>
              <w:spacing w:after="0" w:line="252" w:lineRule="auto"/>
              <w:jc w:val="center"/>
            </w:pPr>
            <w:r>
              <w:rPr>
                <w:rFonts w:ascii="Arial Unicode" w:hAnsi="Arial Unicode" w:eastAsia="Arial Unicode"/>
                <w:sz w:val="16"/>
              </w:rPr>
              <w:t>●</w:t>
            </w:r>
          </w:p>
        </w:tc>
        <w:tc>
          <w:tcPr>
            <w:tcW w:w="168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EEF4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CEB6AAE">
            <w:pPr>
              <w:spacing w:after="0" w:line="252" w:lineRule="auto"/>
              <w:jc w:val="center"/>
            </w:pPr>
            <w:r>
              <w:rPr>
                <w:rFonts w:ascii="Arial Unicode" w:hAnsi="Arial Unicode" w:eastAsia="Arial Unicode"/>
                <w:sz w:val="16"/>
              </w:rPr>
              <w:t>●</w:t>
            </w:r>
          </w:p>
        </w:tc>
        <w:tc>
          <w:tcPr>
            <w:tcW w:w="168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EEF4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2875F98">
            <w:pPr>
              <w:spacing w:after="0" w:line="252" w:lineRule="auto"/>
              <w:jc w:val="center"/>
            </w:pPr>
            <w:r>
              <w:rPr>
                <w:rFonts w:ascii="Arial Unicode" w:hAnsi="Arial Unicode" w:eastAsia="Arial Unicode"/>
                <w:sz w:val="16"/>
              </w:rPr>
              <w:t>●</w:t>
            </w:r>
          </w:p>
        </w:tc>
        <w:tc>
          <w:tcPr>
            <w:tcW w:w="168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EEF4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5F3E920">
            <w:pPr>
              <w:spacing w:after="0" w:line="252" w:lineRule="auto"/>
              <w:jc w:val="center"/>
            </w:pPr>
            <w:r>
              <w:rPr>
                <w:rFonts w:ascii="Arial Unicode" w:hAnsi="Arial Unicode" w:eastAsia="Arial Unicode"/>
                <w:sz w:val="16"/>
              </w:rPr>
              <w:t>●</w:t>
            </w:r>
          </w:p>
        </w:tc>
        <w:tc>
          <w:tcPr>
            <w:tcW w:w="168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EEF4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8D7E5F4">
            <w:pPr>
              <w:spacing w:after="0" w:line="252" w:lineRule="auto"/>
              <w:jc w:val="center"/>
            </w:pPr>
            <w:r>
              <w:rPr>
                <w:rFonts w:ascii="Arial Unicode" w:hAnsi="Arial Unicode" w:eastAsia="Arial Unicode"/>
                <w:sz w:val="16"/>
              </w:rPr>
              <w:t>●</w:t>
            </w:r>
          </w:p>
        </w:tc>
      </w:tr>
      <w:tr w14:paraId="3461D4F4">
        <w:trPr>
          <w:jc w:val="center"/>
        </w:trPr>
        <w:tc>
          <w:tcPr>
            <w:tcW w:w="168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721E64C">
            <w:pPr>
              <w:spacing w:after="0" w:line="252" w:lineRule="auto"/>
              <w:jc w:val="left"/>
            </w:pPr>
            <w:r>
              <w:rPr>
                <w:rFonts w:ascii="Arial Unicode" w:hAnsi="Arial Unicode" w:eastAsia="Arial Unicode"/>
                <w:sz w:val="16"/>
              </w:rPr>
              <w:t>智能质检</w:t>
            </w:r>
          </w:p>
        </w:tc>
        <w:tc>
          <w:tcPr>
            <w:tcW w:w="168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646390F">
            <w:pPr>
              <w:spacing w:after="0" w:line="252" w:lineRule="auto"/>
              <w:jc w:val="center"/>
            </w:pPr>
            <w:r>
              <w:rPr>
                <w:rFonts w:ascii="Arial Unicode" w:hAnsi="Arial Unicode" w:eastAsia="Arial Unicode"/>
                <w:sz w:val="16"/>
              </w:rPr>
              <w:t>●</w:t>
            </w:r>
          </w:p>
        </w:tc>
        <w:tc>
          <w:tcPr>
            <w:tcW w:w="168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74FC3C1">
            <w:pPr>
              <w:spacing w:after="0" w:line="252" w:lineRule="auto"/>
              <w:jc w:val="center"/>
            </w:pPr>
            <w:r>
              <w:rPr>
                <w:rFonts w:ascii="Arial Unicode" w:hAnsi="Arial Unicode" w:eastAsia="Arial Unicode"/>
                <w:sz w:val="16"/>
              </w:rPr>
              <w:t>●</w:t>
            </w:r>
          </w:p>
        </w:tc>
        <w:tc>
          <w:tcPr>
            <w:tcW w:w="168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0A28832">
            <w:pPr>
              <w:spacing w:after="0" w:line="252" w:lineRule="auto"/>
              <w:jc w:val="center"/>
            </w:pPr>
            <w:r>
              <w:rPr>
                <w:rFonts w:ascii="Arial Unicode" w:hAnsi="Arial Unicode" w:eastAsia="Arial Unicode"/>
                <w:sz w:val="16"/>
              </w:rPr>
              <w:t>●</w:t>
            </w:r>
          </w:p>
        </w:tc>
        <w:tc>
          <w:tcPr>
            <w:tcW w:w="168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55BBE8A">
            <w:pPr>
              <w:spacing w:after="0" w:line="252" w:lineRule="auto"/>
              <w:jc w:val="center"/>
            </w:pPr>
            <w:r>
              <w:rPr>
                <w:rFonts w:ascii="Arial Unicode" w:hAnsi="Arial Unicode" w:eastAsia="Arial Unicode"/>
                <w:sz w:val="16"/>
              </w:rPr>
              <w:t>◐</w:t>
            </w:r>
          </w:p>
        </w:tc>
        <w:tc>
          <w:tcPr>
            <w:tcW w:w="168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1853A0B">
            <w:pPr>
              <w:spacing w:after="0" w:line="252" w:lineRule="auto"/>
              <w:jc w:val="center"/>
            </w:pPr>
            <w:r>
              <w:rPr>
                <w:rFonts w:ascii="Arial Unicode" w:hAnsi="Arial Unicode" w:eastAsia="Arial Unicode"/>
                <w:sz w:val="16"/>
              </w:rPr>
              <w:t>●</w:t>
            </w:r>
          </w:p>
        </w:tc>
      </w:tr>
      <w:tr w14:paraId="4B3CE0D1">
        <w:trPr>
          <w:jc w:val="center"/>
        </w:trPr>
        <w:tc>
          <w:tcPr>
            <w:tcW w:w="168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EEF4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EF3B1A5">
            <w:pPr>
              <w:spacing w:after="0" w:line="252" w:lineRule="auto"/>
              <w:jc w:val="left"/>
            </w:pPr>
            <w:r>
              <w:rPr>
                <w:rFonts w:ascii="Arial Unicode" w:hAnsi="Arial Unicode" w:eastAsia="Arial Unicode"/>
                <w:sz w:val="16"/>
              </w:rPr>
              <w:t>数据报表及实时监控</w:t>
            </w:r>
          </w:p>
        </w:tc>
        <w:tc>
          <w:tcPr>
            <w:tcW w:w="168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EEF4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4F963BC">
            <w:pPr>
              <w:spacing w:after="0" w:line="252" w:lineRule="auto"/>
              <w:jc w:val="center"/>
            </w:pPr>
            <w:r>
              <w:rPr>
                <w:rFonts w:ascii="Arial Unicode" w:hAnsi="Arial Unicode" w:eastAsia="Arial Unicode"/>
                <w:sz w:val="16"/>
              </w:rPr>
              <w:t>●</w:t>
            </w:r>
          </w:p>
        </w:tc>
        <w:tc>
          <w:tcPr>
            <w:tcW w:w="168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EEF4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D9A4865">
            <w:pPr>
              <w:spacing w:after="0" w:line="252" w:lineRule="auto"/>
              <w:jc w:val="center"/>
            </w:pPr>
            <w:r>
              <w:rPr>
                <w:rFonts w:ascii="Arial Unicode" w:hAnsi="Arial Unicode" w:eastAsia="Arial Unicode"/>
                <w:sz w:val="16"/>
              </w:rPr>
              <w:t>●</w:t>
            </w:r>
          </w:p>
        </w:tc>
        <w:tc>
          <w:tcPr>
            <w:tcW w:w="168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EEF4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26E4F12">
            <w:pPr>
              <w:spacing w:after="0" w:line="252" w:lineRule="auto"/>
              <w:jc w:val="center"/>
            </w:pPr>
            <w:r>
              <w:rPr>
                <w:rFonts w:ascii="Arial Unicode" w:hAnsi="Arial Unicode" w:eastAsia="Arial Unicode"/>
                <w:sz w:val="16"/>
              </w:rPr>
              <w:t>●</w:t>
            </w:r>
          </w:p>
        </w:tc>
        <w:tc>
          <w:tcPr>
            <w:tcW w:w="168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EEF4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BA86660">
            <w:pPr>
              <w:spacing w:after="0" w:line="252" w:lineRule="auto"/>
              <w:jc w:val="center"/>
            </w:pPr>
            <w:r>
              <w:rPr>
                <w:rFonts w:ascii="Arial Unicode" w:hAnsi="Arial Unicode" w:eastAsia="Arial Unicode"/>
                <w:sz w:val="16"/>
              </w:rPr>
              <w:t>●</w:t>
            </w:r>
          </w:p>
        </w:tc>
        <w:tc>
          <w:tcPr>
            <w:tcW w:w="168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EEF4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20093AF">
            <w:pPr>
              <w:spacing w:after="0" w:line="252" w:lineRule="auto"/>
              <w:jc w:val="center"/>
            </w:pPr>
            <w:r>
              <w:rPr>
                <w:rFonts w:ascii="Arial Unicode" w:hAnsi="Arial Unicode" w:eastAsia="Arial Unicode"/>
                <w:sz w:val="16"/>
              </w:rPr>
              <w:t>●</w:t>
            </w:r>
          </w:p>
        </w:tc>
      </w:tr>
      <w:tr w14:paraId="62B6208A">
        <w:trPr>
          <w:jc w:val="center"/>
        </w:trPr>
        <w:tc>
          <w:tcPr>
            <w:tcW w:w="168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A3FE079">
            <w:pPr>
              <w:spacing w:after="0" w:line="252" w:lineRule="auto"/>
              <w:jc w:val="left"/>
            </w:pPr>
            <w:r>
              <w:rPr>
                <w:rFonts w:ascii="Arial Unicode" w:hAnsi="Arial Unicode" w:eastAsia="Arial Unicode"/>
                <w:sz w:val="16"/>
              </w:rPr>
              <w:t>API、SDK 与业务系统集成</w:t>
            </w:r>
          </w:p>
        </w:tc>
        <w:tc>
          <w:tcPr>
            <w:tcW w:w="168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734347E">
            <w:pPr>
              <w:spacing w:after="0" w:line="252" w:lineRule="auto"/>
              <w:jc w:val="center"/>
            </w:pPr>
            <w:r>
              <w:rPr>
                <w:rFonts w:ascii="Arial Unicode" w:hAnsi="Arial Unicode" w:eastAsia="Arial Unicode"/>
                <w:sz w:val="16"/>
              </w:rPr>
              <w:t>●</w:t>
            </w:r>
          </w:p>
        </w:tc>
        <w:tc>
          <w:tcPr>
            <w:tcW w:w="168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6AA336C">
            <w:pPr>
              <w:spacing w:after="0" w:line="252" w:lineRule="auto"/>
              <w:jc w:val="center"/>
            </w:pPr>
            <w:r>
              <w:rPr>
                <w:rFonts w:ascii="Arial Unicode" w:hAnsi="Arial Unicode" w:eastAsia="Arial Unicode"/>
                <w:sz w:val="16"/>
              </w:rPr>
              <w:t>●</w:t>
            </w:r>
          </w:p>
        </w:tc>
        <w:tc>
          <w:tcPr>
            <w:tcW w:w="168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6A15FFB">
            <w:pPr>
              <w:spacing w:after="0" w:line="252" w:lineRule="auto"/>
              <w:jc w:val="center"/>
            </w:pPr>
            <w:r>
              <w:rPr>
                <w:rFonts w:ascii="Arial Unicode" w:hAnsi="Arial Unicode" w:eastAsia="Arial Unicode"/>
                <w:sz w:val="16"/>
              </w:rPr>
              <w:t>●</w:t>
            </w:r>
          </w:p>
        </w:tc>
        <w:tc>
          <w:tcPr>
            <w:tcW w:w="168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BF8A223">
            <w:pPr>
              <w:spacing w:after="0" w:line="252" w:lineRule="auto"/>
              <w:jc w:val="center"/>
            </w:pPr>
            <w:r>
              <w:rPr>
                <w:rFonts w:ascii="Arial Unicode" w:hAnsi="Arial Unicode" w:eastAsia="Arial Unicode"/>
                <w:sz w:val="16"/>
              </w:rPr>
              <w:t>●</w:t>
            </w:r>
          </w:p>
        </w:tc>
        <w:tc>
          <w:tcPr>
            <w:tcW w:w="168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E9602FF">
            <w:pPr>
              <w:spacing w:after="0" w:line="252" w:lineRule="auto"/>
              <w:jc w:val="center"/>
            </w:pPr>
            <w:r>
              <w:rPr>
                <w:rFonts w:ascii="Arial Unicode" w:hAnsi="Arial Unicode" w:eastAsia="Arial Unicode"/>
                <w:sz w:val="16"/>
              </w:rPr>
              <w:t>●</w:t>
            </w:r>
          </w:p>
        </w:tc>
      </w:tr>
      <w:tr w14:paraId="7D8A54C2">
        <w:trPr>
          <w:jc w:val="center"/>
        </w:trPr>
        <w:tc>
          <w:tcPr>
            <w:tcW w:w="168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EEF4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3402E9D">
            <w:pPr>
              <w:spacing w:after="0" w:line="252" w:lineRule="auto"/>
              <w:jc w:val="left"/>
            </w:pPr>
            <w:r>
              <w:rPr>
                <w:rFonts w:ascii="Arial Unicode" w:hAnsi="Arial Unicode" w:eastAsia="Arial Unicode"/>
                <w:sz w:val="16"/>
              </w:rPr>
              <w:t>可视化工作流及任务执行</w:t>
            </w:r>
          </w:p>
        </w:tc>
        <w:tc>
          <w:tcPr>
            <w:tcW w:w="168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EEF4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1B98C4E">
            <w:pPr>
              <w:spacing w:after="0" w:line="252" w:lineRule="auto"/>
              <w:jc w:val="center"/>
            </w:pPr>
            <w:r>
              <w:rPr>
                <w:rFonts w:ascii="Arial Unicode" w:hAnsi="Arial Unicode" w:eastAsia="Arial Unicode"/>
                <w:sz w:val="16"/>
              </w:rPr>
              <w:t>●</w:t>
            </w:r>
          </w:p>
        </w:tc>
        <w:tc>
          <w:tcPr>
            <w:tcW w:w="168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EEF4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F235FE0">
            <w:pPr>
              <w:spacing w:after="0" w:line="252" w:lineRule="auto"/>
              <w:jc w:val="center"/>
            </w:pPr>
            <w:r>
              <w:rPr>
                <w:rFonts w:ascii="Arial Unicode" w:hAnsi="Arial Unicode" w:eastAsia="Arial Unicode"/>
                <w:sz w:val="16"/>
              </w:rPr>
              <w:t>●</w:t>
            </w:r>
          </w:p>
        </w:tc>
        <w:tc>
          <w:tcPr>
            <w:tcW w:w="168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EEF4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C738348">
            <w:pPr>
              <w:spacing w:after="0" w:line="252" w:lineRule="auto"/>
              <w:jc w:val="center"/>
            </w:pPr>
            <w:r>
              <w:rPr>
                <w:rFonts w:ascii="Arial Unicode" w:hAnsi="Arial Unicode" w:eastAsia="Arial Unicode"/>
                <w:sz w:val="16"/>
              </w:rPr>
              <w:t>◐</w:t>
            </w:r>
          </w:p>
        </w:tc>
        <w:tc>
          <w:tcPr>
            <w:tcW w:w="168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EEF4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8F6EE35">
            <w:pPr>
              <w:spacing w:after="0" w:line="252" w:lineRule="auto"/>
              <w:jc w:val="center"/>
            </w:pPr>
            <w:r>
              <w:rPr>
                <w:rFonts w:ascii="Arial Unicode" w:hAnsi="Arial Unicode" w:eastAsia="Arial Unicode"/>
                <w:sz w:val="16"/>
              </w:rPr>
              <w:t>◐</w:t>
            </w:r>
          </w:p>
        </w:tc>
        <w:tc>
          <w:tcPr>
            <w:tcW w:w="168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EEF4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5A71D1F">
            <w:pPr>
              <w:spacing w:after="0" w:line="252" w:lineRule="auto"/>
              <w:jc w:val="center"/>
            </w:pPr>
            <w:r>
              <w:rPr>
                <w:rFonts w:ascii="Arial Unicode" w:hAnsi="Arial Unicode" w:eastAsia="Arial Unicode"/>
                <w:sz w:val="16"/>
              </w:rPr>
              <w:t>●</w:t>
            </w:r>
          </w:p>
        </w:tc>
      </w:tr>
      <w:tr w14:paraId="2D4950CC">
        <w:trPr>
          <w:jc w:val="center"/>
        </w:trPr>
        <w:tc>
          <w:tcPr>
            <w:tcW w:w="168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B20B388">
            <w:pPr>
              <w:spacing w:after="0" w:line="252" w:lineRule="auto"/>
              <w:jc w:val="left"/>
            </w:pPr>
            <w:r>
              <w:rPr>
                <w:rFonts w:ascii="Arial Unicode" w:hAnsi="Arial Unicode" w:eastAsia="Arial Unicode"/>
                <w:sz w:val="16"/>
              </w:rPr>
              <w:t>情绪识别及安抚策略</w:t>
            </w:r>
          </w:p>
        </w:tc>
        <w:tc>
          <w:tcPr>
            <w:tcW w:w="168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9B1756E">
            <w:pPr>
              <w:spacing w:after="0" w:line="252" w:lineRule="auto"/>
              <w:jc w:val="center"/>
            </w:pPr>
            <w:r>
              <w:rPr>
                <w:rFonts w:ascii="Arial Unicode" w:hAnsi="Arial Unicode" w:eastAsia="Arial Unicode"/>
                <w:sz w:val="16"/>
              </w:rPr>
              <w:t>◐</w:t>
            </w:r>
          </w:p>
        </w:tc>
        <w:tc>
          <w:tcPr>
            <w:tcW w:w="168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06D64F9">
            <w:pPr>
              <w:spacing w:after="0" w:line="252" w:lineRule="auto"/>
              <w:jc w:val="center"/>
            </w:pPr>
            <w:r>
              <w:rPr>
                <w:rFonts w:ascii="Arial Unicode" w:hAnsi="Arial Unicode" w:eastAsia="Arial Unicode"/>
                <w:sz w:val="16"/>
              </w:rPr>
              <w:t>●</w:t>
            </w:r>
          </w:p>
        </w:tc>
        <w:tc>
          <w:tcPr>
            <w:tcW w:w="168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239DDB7">
            <w:pPr>
              <w:spacing w:after="0" w:line="252" w:lineRule="auto"/>
              <w:jc w:val="center"/>
            </w:pPr>
            <w:r>
              <w:rPr>
                <w:rFonts w:ascii="Arial Unicode" w:hAnsi="Arial Unicode" w:eastAsia="Arial Unicode"/>
                <w:sz w:val="16"/>
              </w:rPr>
              <w:t>◐</w:t>
            </w:r>
          </w:p>
        </w:tc>
        <w:tc>
          <w:tcPr>
            <w:tcW w:w="168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013944E">
            <w:pPr>
              <w:spacing w:after="0" w:line="252" w:lineRule="auto"/>
              <w:jc w:val="center"/>
            </w:pPr>
            <w:r>
              <w:rPr>
                <w:rFonts w:ascii="Arial Unicode" w:hAnsi="Arial Unicode" w:eastAsia="Arial Unicode"/>
                <w:sz w:val="16"/>
              </w:rPr>
              <w:t>●</w:t>
            </w:r>
          </w:p>
        </w:tc>
        <w:tc>
          <w:tcPr>
            <w:tcW w:w="168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B281B43">
            <w:pPr>
              <w:spacing w:after="0" w:line="252" w:lineRule="auto"/>
              <w:jc w:val="center"/>
            </w:pPr>
            <w:r>
              <w:rPr>
                <w:rFonts w:ascii="Arial Unicode" w:hAnsi="Arial Unicode" w:eastAsia="Arial Unicode"/>
                <w:sz w:val="16"/>
              </w:rPr>
              <w:t>●</w:t>
            </w:r>
          </w:p>
        </w:tc>
      </w:tr>
      <w:tr w14:paraId="6F9DF49A">
        <w:trPr>
          <w:jc w:val="center"/>
        </w:trPr>
        <w:tc>
          <w:tcPr>
            <w:tcW w:w="168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EEF4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859E764">
            <w:pPr>
              <w:spacing w:after="0" w:line="252" w:lineRule="auto"/>
              <w:jc w:val="left"/>
            </w:pPr>
            <w:r>
              <w:rPr>
                <w:rFonts w:ascii="Arial Unicode" w:hAnsi="Arial Unicode" w:eastAsia="Arial Unicode"/>
                <w:sz w:val="16"/>
              </w:rPr>
              <w:t>多语言与海外渠道</w:t>
            </w:r>
          </w:p>
        </w:tc>
        <w:tc>
          <w:tcPr>
            <w:tcW w:w="168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EEF4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6F87376">
            <w:pPr>
              <w:spacing w:after="0" w:line="252" w:lineRule="auto"/>
              <w:jc w:val="center"/>
            </w:pPr>
            <w:r>
              <w:rPr>
                <w:rFonts w:ascii="Arial Unicode" w:hAnsi="Arial Unicode" w:eastAsia="Arial Unicode"/>
                <w:sz w:val="16"/>
              </w:rPr>
              <w:t>●</w:t>
            </w:r>
          </w:p>
        </w:tc>
        <w:tc>
          <w:tcPr>
            <w:tcW w:w="168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EEF4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4C673D1">
            <w:pPr>
              <w:spacing w:after="0" w:line="252" w:lineRule="auto"/>
              <w:jc w:val="center"/>
            </w:pPr>
            <w:r>
              <w:rPr>
                <w:rFonts w:ascii="Arial Unicode" w:hAnsi="Arial Unicode" w:eastAsia="Arial Unicode"/>
                <w:sz w:val="16"/>
              </w:rPr>
              <w:t>●</w:t>
            </w:r>
          </w:p>
        </w:tc>
        <w:tc>
          <w:tcPr>
            <w:tcW w:w="168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EEF4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6471C62">
            <w:pPr>
              <w:spacing w:after="0" w:line="252" w:lineRule="auto"/>
              <w:jc w:val="center"/>
            </w:pPr>
            <w:r>
              <w:rPr>
                <w:rFonts w:ascii="Arial Unicode" w:hAnsi="Arial Unicode" w:eastAsia="Arial Unicode"/>
                <w:sz w:val="16"/>
              </w:rPr>
              <w:t>◐</w:t>
            </w:r>
          </w:p>
        </w:tc>
        <w:tc>
          <w:tcPr>
            <w:tcW w:w="168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EEF4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E6BE6FE">
            <w:pPr>
              <w:spacing w:after="0" w:line="252" w:lineRule="auto"/>
              <w:jc w:val="center"/>
            </w:pPr>
            <w:r>
              <w:rPr>
                <w:rFonts w:ascii="Arial Unicode" w:hAnsi="Arial Unicode" w:eastAsia="Arial Unicode"/>
                <w:sz w:val="16"/>
              </w:rPr>
              <w:t>◐</w:t>
            </w:r>
          </w:p>
        </w:tc>
        <w:tc>
          <w:tcPr>
            <w:tcW w:w="168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EEF4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2C011B3">
            <w:pPr>
              <w:spacing w:after="0" w:line="252" w:lineRule="auto"/>
              <w:jc w:val="center"/>
            </w:pPr>
            <w:r>
              <w:rPr>
                <w:rFonts w:ascii="Arial Unicode" w:hAnsi="Arial Unicode" w:eastAsia="Arial Unicode"/>
                <w:sz w:val="16"/>
              </w:rPr>
              <w:t>●</w:t>
            </w:r>
          </w:p>
        </w:tc>
      </w:tr>
      <w:tr w14:paraId="65364298">
        <w:trPr>
          <w:jc w:val="center"/>
        </w:trPr>
        <w:tc>
          <w:tcPr>
            <w:tcW w:w="168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866D841">
            <w:pPr>
              <w:spacing w:after="0" w:line="252" w:lineRule="auto"/>
              <w:jc w:val="left"/>
            </w:pPr>
            <w:r>
              <w:rPr>
                <w:rFonts w:ascii="Arial Unicode" w:hAnsi="Arial Unicode" w:eastAsia="Arial Unicode"/>
                <w:sz w:val="16"/>
              </w:rPr>
              <w:t>私有化或混合部署</w:t>
            </w:r>
          </w:p>
        </w:tc>
        <w:tc>
          <w:tcPr>
            <w:tcW w:w="168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2149505">
            <w:pPr>
              <w:spacing w:after="0" w:line="252" w:lineRule="auto"/>
              <w:jc w:val="center"/>
            </w:pPr>
            <w:r>
              <w:rPr>
                <w:rFonts w:ascii="Arial Unicode" w:hAnsi="Arial Unicode" w:eastAsia="Arial Unicode"/>
                <w:sz w:val="16"/>
              </w:rPr>
              <w:t>●</w:t>
            </w:r>
          </w:p>
        </w:tc>
        <w:tc>
          <w:tcPr>
            <w:tcW w:w="168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E3E79CB">
            <w:pPr>
              <w:spacing w:after="0" w:line="252" w:lineRule="auto"/>
              <w:jc w:val="center"/>
            </w:pPr>
            <w:r>
              <w:rPr>
                <w:rFonts w:ascii="Arial Unicode" w:hAnsi="Arial Unicode" w:eastAsia="Arial Unicode"/>
                <w:sz w:val="16"/>
              </w:rPr>
              <w:t>●</w:t>
            </w:r>
          </w:p>
        </w:tc>
        <w:tc>
          <w:tcPr>
            <w:tcW w:w="168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F21BC32">
            <w:pPr>
              <w:spacing w:after="0" w:line="252" w:lineRule="auto"/>
              <w:jc w:val="center"/>
            </w:pPr>
            <w:r>
              <w:rPr>
                <w:rFonts w:ascii="Arial Unicode" w:hAnsi="Arial Unicode" w:eastAsia="Arial Unicode"/>
                <w:sz w:val="16"/>
              </w:rPr>
              <w:t>◐</w:t>
            </w:r>
          </w:p>
        </w:tc>
        <w:tc>
          <w:tcPr>
            <w:tcW w:w="168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A409B7F">
            <w:pPr>
              <w:spacing w:after="0" w:line="252" w:lineRule="auto"/>
              <w:jc w:val="center"/>
            </w:pPr>
            <w:r>
              <w:rPr>
                <w:rFonts w:ascii="Arial Unicode" w:hAnsi="Arial Unicode" w:eastAsia="Arial Unicode"/>
                <w:sz w:val="16"/>
              </w:rPr>
              <w:t>—</w:t>
            </w:r>
          </w:p>
        </w:tc>
        <w:tc>
          <w:tcPr>
            <w:tcW w:w="168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9B6BDBA">
            <w:pPr>
              <w:spacing w:after="0" w:line="252" w:lineRule="auto"/>
              <w:jc w:val="center"/>
            </w:pPr>
            <w:r>
              <w:rPr>
                <w:rFonts w:ascii="Arial Unicode" w:hAnsi="Arial Unicode" w:eastAsia="Arial Unicode"/>
                <w:sz w:val="16"/>
              </w:rPr>
              <w:t>◐</w:t>
            </w:r>
          </w:p>
        </w:tc>
      </w:tr>
      <w:tr w14:paraId="294EF44B">
        <w:trPr>
          <w:jc w:val="center"/>
        </w:trPr>
        <w:tc>
          <w:tcPr>
            <w:tcW w:w="168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EEF4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D0653AE">
            <w:pPr>
              <w:spacing w:after="0" w:line="252" w:lineRule="auto"/>
              <w:jc w:val="left"/>
            </w:pPr>
            <w:r>
              <w:rPr>
                <w:rFonts w:ascii="Arial Unicode" w:hAnsi="Arial Unicode" w:eastAsia="Arial Unicode"/>
                <w:sz w:val="16"/>
              </w:rPr>
              <w:t>售前留资与营销转化</w:t>
            </w:r>
          </w:p>
        </w:tc>
        <w:tc>
          <w:tcPr>
            <w:tcW w:w="168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EEF4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22FA5E1">
            <w:pPr>
              <w:spacing w:after="0" w:line="252" w:lineRule="auto"/>
              <w:jc w:val="center"/>
            </w:pPr>
            <w:r>
              <w:rPr>
                <w:rFonts w:ascii="Arial Unicode" w:hAnsi="Arial Unicode" w:eastAsia="Arial Unicode"/>
                <w:sz w:val="16"/>
              </w:rPr>
              <w:t>●</w:t>
            </w:r>
          </w:p>
        </w:tc>
        <w:tc>
          <w:tcPr>
            <w:tcW w:w="168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EEF4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979A4F1">
            <w:pPr>
              <w:spacing w:after="0" w:line="252" w:lineRule="auto"/>
              <w:jc w:val="center"/>
            </w:pPr>
            <w:r>
              <w:rPr>
                <w:rFonts w:ascii="Arial Unicode" w:hAnsi="Arial Unicode" w:eastAsia="Arial Unicode"/>
                <w:sz w:val="16"/>
              </w:rPr>
              <w:t>●</w:t>
            </w:r>
          </w:p>
        </w:tc>
        <w:tc>
          <w:tcPr>
            <w:tcW w:w="168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EEF4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708ADBB">
            <w:pPr>
              <w:spacing w:after="0" w:line="252" w:lineRule="auto"/>
              <w:jc w:val="center"/>
            </w:pPr>
            <w:r>
              <w:rPr>
                <w:rFonts w:ascii="Arial Unicode" w:hAnsi="Arial Unicode" w:eastAsia="Arial Unicode"/>
                <w:sz w:val="16"/>
              </w:rPr>
              <w:t>●</w:t>
            </w:r>
          </w:p>
        </w:tc>
        <w:tc>
          <w:tcPr>
            <w:tcW w:w="168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EEF4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35BB75A">
            <w:pPr>
              <w:spacing w:after="0" w:line="252" w:lineRule="auto"/>
              <w:jc w:val="center"/>
            </w:pPr>
            <w:r>
              <w:rPr>
                <w:rFonts w:ascii="Arial Unicode" w:hAnsi="Arial Unicode" w:eastAsia="Arial Unicode"/>
                <w:sz w:val="16"/>
              </w:rPr>
              <w:t>●</w:t>
            </w:r>
          </w:p>
        </w:tc>
        <w:tc>
          <w:tcPr>
            <w:tcW w:w="168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EEF4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5CE39AA">
            <w:pPr>
              <w:spacing w:after="0" w:line="252" w:lineRule="auto"/>
              <w:jc w:val="center"/>
            </w:pPr>
            <w:r>
              <w:rPr>
                <w:rFonts w:ascii="Arial Unicode" w:hAnsi="Arial Unicode" w:eastAsia="Arial Unicode"/>
                <w:sz w:val="16"/>
              </w:rPr>
              <w:t>●</w:t>
            </w:r>
          </w:p>
        </w:tc>
      </w:tr>
    </w:tbl>
    <w:p w14:paraId="714AC32C">
      <w:pPr>
        <w:spacing w:after="20"/>
      </w:pPr>
    </w:p>
    <w:p w14:paraId="71552F18">
      <w:r>
        <w:t>从基础功能看，五款产品高度同质化；差异主要出现在视频服务、私有化部署、全球渠道、复杂工单和 Agent 执行能力。Udesk 与智齿覆盖面最完整，适合流程复杂的中大型企业；七鱼兼顾在线、语音、视频、质检和数据洞察，产品组合均衡；美洽突出三分钟接入、低学习成本和获客留资；腾讯云强在通信基础设施、模型与 API，但要形成完整工单闭环往往需要组合企点客服或企业自有系统。</w:t>
      </w:r>
    </w:p>
    <w:p w14:paraId="13A446D3">
      <w:pPr>
        <w:pStyle w:val="3"/>
      </w:pPr>
      <w:r>
        <w:t>五 AI 能力与局限</w:t>
      </w:r>
    </w:p>
    <w:p w14:paraId="66DFFC02">
      <w:r>
        <w:t>Udesk 的优势是将文本、语音、工单、现场服务和企业系统连接起来，AI 不只回答问题，还能进入业务流程；局限是模块多、项目实施和持续运营成本较高。智齿采用 AI Agent、AI Copilot、AI Insight 的产品框架，并可对接 DeepSeek、通义千问、OpenAI、Amazon Bedrock 等模型，模型选择灵活、全球渠道覆盖强；风险在于能力依赖知识质量、流程配置和行业交付，演示效果不等于真实解决率。</w:t>
      </w:r>
    </w:p>
    <w:p w14:paraId="7FA640D1">
      <w:r>
        <w:t>网易七鱼依托自研算法和网易大模型，具备机器人、坐席辅助、质检、客户之声及行业知识库，适合希望一站式采购的团队；其公开材料对模型评测、幻觉率和不同版本能力边界披露较少。美洽将大模型用于意图识别、情绪分析、多轮追问、留资和顾客印象生成，优势是面向增长场景，配置路径短；复杂售后、跨系统办理和私有化能力不是其最强项。腾讯云客服大模型机器人融合 LLM、RAG、OCR、知识溯源和可视化工作流，可通过 API 执行业务动作，并有敏感信息过滤；但云产品配置项、计费项和技术概念较多，中小团队需要一定集成能力。</w:t>
      </w:r>
    </w:p>
    <w:p w14:paraId="6F0B20CA">
      <w:r>
        <w:t>所有产品面临四个共同局限：知识库过期会导致“有依据地答错”；生成模型存在幻觉，必须设置置信度、引用和拒答；系统权限越大，错误执行的业务风险越高；客服效果高度依赖持续标注、Bad Case 回流和人工运营，不能一次部署后长期无人维护。</w:t>
      </w:r>
    </w:p>
    <w:p w14:paraId="42B39729">
      <w:pPr>
        <w:pStyle w:val="3"/>
      </w:pPr>
      <w:r>
        <w:t>六 用户体验对比</w:t>
      </w:r>
    </w:p>
    <w:p w14:paraId="2220BF2A">
      <w:r>
        <w:t>从公开产品流程和帮助文档判断，美洽上手最快，注册、嵌入网站、配置接待规则的路径清晰，适合小团队；腾讯云提供试用和 SDK，但首次需要创建应用、配置渠道与角色，更偏开发者和已有云资源的企业。Udesk、智齿和七鱼均提供完整后台，功能覆盖广，但菜单、权限、路由、知识库、质检和报表较多，管理员学习成本相对更高。</w:t>
      </w:r>
    </w:p>
    <w:p w14:paraId="2B9F53E7">
      <w:r>
        <w:t>响应速度不是当前主要矛盾。机器人普遍能够秒级首响，真正影响体验的是能否理解非标准表达、是否重复追问、转人工是否保留上下文、人工不可用时能否给出明确预期。优秀体验应让用户随时知道“正在由谁处理、下一步是什么、多久能完成”，而不是只让对话框快速吐出文字。</w:t>
      </w:r>
    </w:p>
    <w:p w14:paraId="58CFC2D4">
      <w:pPr>
        <w:pStyle w:val="3"/>
      </w:pPr>
      <w:r>
        <w:t>七 商业模式比较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20"/>
        <w:gridCol w:w="2520"/>
        <w:gridCol w:w="2520"/>
        <w:gridCol w:w="2520"/>
      </w:tblGrid>
      <w:tr w14:paraId="086E3DA3">
        <w:trPr>
          <w:tblHeader/>
          <w:jc w:val="center"/>
        </w:trPr>
        <w:tc>
          <w:tcPr>
            <w:tcW w:w="252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1F4E7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85ADECC">
            <w:pPr>
              <w:spacing w:after="0" w:line="252" w:lineRule="auto"/>
              <w:jc w:val="left"/>
            </w:pPr>
            <w:r>
              <w:rPr>
                <w:rFonts w:ascii="Arial Unicode" w:hAnsi="Arial Unicode" w:eastAsia="Arial Unicode"/>
                <w:b/>
                <w:color w:val="FFFFFF"/>
                <w:sz w:val="17"/>
              </w:rPr>
              <w:t>产品</w:t>
            </w:r>
          </w:p>
        </w:tc>
        <w:tc>
          <w:tcPr>
            <w:tcW w:w="252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1F4E7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A37B2D9">
            <w:pPr>
              <w:spacing w:after="0" w:line="252" w:lineRule="auto"/>
              <w:jc w:val="left"/>
            </w:pPr>
            <w:r>
              <w:rPr>
                <w:rFonts w:ascii="Arial Unicode" w:hAnsi="Arial Unicode" w:eastAsia="Arial Unicode"/>
                <w:b/>
                <w:color w:val="FFFFFF"/>
                <w:sz w:val="17"/>
              </w:rPr>
              <w:t>主要收费方式</w:t>
            </w:r>
          </w:p>
        </w:tc>
        <w:tc>
          <w:tcPr>
            <w:tcW w:w="252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1F4E7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0CAC1CB">
            <w:pPr>
              <w:spacing w:after="0" w:line="252" w:lineRule="auto"/>
              <w:jc w:val="left"/>
            </w:pPr>
            <w:r>
              <w:rPr>
                <w:rFonts w:ascii="Arial Unicode" w:hAnsi="Arial Unicode" w:eastAsia="Arial Unicode"/>
                <w:b/>
                <w:color w:val="FFFFFF"/>
                <w:sz w:val="17"/>
              </w:rPr>
              <w:t>价格透明度</w:t>
            </w:r>
          </w:p>
        </w:tc>
        <w:tc>
          <w:tcPr>
            <w:tcW w:w="252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1F4E7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2942C02">
            <w:pPr>
              <w:spacing w:after="0" w:line="252" w:lineRule="auto"/>
              <w:jc w:val="left"/>
            </w:pPr>
            <w:r>
              <w:rPr>
                <w:rFonts w:ascii="Arial Unicode" w:hAnsi="Arial Unicode" w:eastAsia="Arial Unicode"/>
                <w:b/>
                <w:color w:val="FFFFFF"/>
                <w:sz w:val="17"/>
              </w:rPr>
              <w:t>采购特点</w:t>
            </w:r>
          </w:p>
        </w:tc>
      </w:tr>
      <w:tr w14:paraId="76C55093">
        <w:trPr>
          <w:jc w:val="center"/>
        </w:trPr>
        <w:tc>
          <w:tcPr>
            <w:tcW w:w="252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27A7926">
            <w:pPr>
              <w:spacing w:after="0" w:line="252" w:lineRule="auto"/>
              <w:jc w:val="left"/>
            </w:pPr>
            <w:r>
              <w:rPr>
                <w:rFonts w:ascii="Arial Unicode" w:hAnsi="Arial Unicode" w:eastAsia="Arial Unicode"/>
                <w:sz w:val="17"/>
              </w:rPr>
              <w:t>Udesk</w:t>
            </w:r>
          </w:p>
        </w:tc>
        <w:tc>
          <w:tcPr>
            <w:tcW w:w="252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602A2EC">
            <w:pPr>
              <w:spacing w:after="0" w:line="252" w:lineRule="auto"/>
              <w:jc w:val="left"/>
            </w:pPr>
            <w:r>
              <w:rPr>
                <w:rFonts w:ascii="Arial Unicode" w:hAnsi="Arial Unicode" w:eastAsia="Arial Unicode"/>
                <w:sz w:val="17"/>
              </w:rPr>
              <w:t>SaaS 按坐席年付，机器人、呼叫、工单等模块组合；公开页曾列 IM 账号 2400 元/年起</w:t>
            </w:r>
          </w:p>
        </w:tc>
        <w:tc>
          <w:tcPr>
            <w:tcW w:w="252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50072AB">
            <w:pPr>
              <w:spacing w:after="0" w:line="252" w:lineRule="auto"/>
              <w:jc w:val="left"/>
            </w:pPr>
            <w:r>
              <w:rPr>
                <w:rFonts w:ascii="Arial Unicode" w:hAnsi="Arial Unicode" w:eastAsia="Arial Unicode"/>
                <w:sz w:val="17"/>
              </w:rPr>
              <w:t>中</w:t>
            </w:r>
          </w:p>
        </w:tc>
        <w:tc>
          <w:tcPr>
            <w:tcW w:w="252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FD22782">
            <w:pPr>
              <w:spacing w:after="0" w:line="252" w:lineRule="auto"/>
              <w:jc w:val="left"/>
            </w:pPr>
            <w:r>
              <w:rPr>
                <w:rFonts w:ascii="Arial Unicode" w:hAnsi="Arial Unicode" w:eastAsia="Arial Unicode"/>
                <w:sz w:val="17"/>
              </w:rPr>
              <w:t>大客户按方案报价，需计算实施、接口与运营成本</w:t>
            </w:r>
          </w:p>
        </w:tc>
      </w:tr>
      <w:tr w14:paraId="1358B325">
        <w:trPr>
          <w:jc w:val="center"/>
        </w:trPr>
        <w:tc>
          <w:tcPr>
            <w:tcW w:w="252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EEF4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95A22FE">
            <w:pPr>
              <w:spacing w:after="0" w:line="252" w:lineRule="auto"/>
              <w:jc w:val="left"/>
            </w:pPr>
            <w:r>
              <w:rPr>
                <w:rFonts w:ascii="Arial Unicode" w:hAnsi="Arial Unicode" w:eastAsia="Arial Unicode"/>
                <w:sz w:val="17"/>
              </w:rPr>
              <w:t>智齿</w:t>
            </w:r>
          </w:p>
        </w:tc>
        <w:tc>
          <w:tcPr>
            <w:tcW w:w="252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EEF4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6353A3D">
            <w:pPr>
              <w:spacing w:after="0" w:line="252" w:lineRule="auto"/>
              <w:jc w:val="left"/>
            </w:pPr>
            <w:r>
              <w:rPr>
                <w:rFonts w:ascii="Arial Unicode" w:hAnsi="Arial Unicode" w:eastAsia="Arial Unicode"/>
                <w:sz w:val="17"/>
              </w:rPr>
              <w:t>坐席、机器人、呼叫资源、功能模块及项目交付组合报价</w:t>
            </w:r>
          </w:p>
        </w:tc>
        <w:tc>
          <w:tcPr>
            <w:tcW w:w="252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EEF4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12415E9">
            <w:pPr>
              <w:spacing w:after="0" w:line="252" w:lineRule="auto"/>
              <w:jc w:val="left"/>
            </w:pPr>
            <w:r>
              <w:rPr>
                <w:rFonts w:ascii="Arial Unicode" w:hAnsi="Arial Unicode" w:eastAsia="Arial Unicode"/>
                <w:sz w:val="17"/>
              </w:rPr>
              <w:t>低</w:t>
            </w:r>
          </w:p>
        </w:tc>
        <w:tc>
          <w:tcPr>
            <w:tcW w:w="252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EEF4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B30C2C3">
            <w:pPr>
              <w:spacing w:after="0" w:line="252" w:lineRule="auto"/>
              <w:jc w:val="left"/>
            </w:pPr>
            <w:r>
              <w:rPr>
                <w:rFonts w:ascii="Arial Unicode" w:hAnsi="Arial Unicode" w:eastAsia="Arial Unicode"/>
                <w:sz w:val="17"/>
              </w:rPr>
              <w:t>适合需求复杂的企业，通常需售前评估</w:t>
            </w:r>
          </w:p>
        </w:tc>
      </w:tr>
      <w:tr w14:paraId="7C504A4B">
        <w:trPr>
          <w:jc w:val="center"/>
        </w:trPr>
        <w:tc>
          <w:tcPr>
            <w:tcW w:w="252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4B98B84">
            <w:pPr>
              <w:spacing w:after="0" w:line="252" w:lineRule="auto"/>
              <w:jc w:val="left"/>
            </w:pPr>
            <w:r>
              <w:rPr>
                <w:rFonts w:ascii="Arial Unicode" w:hAnsi="Arial Unicode" w:eastAsia="Arial Unicode"/>
                <w:sz w:val="17"/>
              </w:rPr>
              <w:t>网易七鱼</w:t>
            </w:r>
          </w:p>
        </w:tc>
        <w:tc>
          <w:tcPr>
            <w:tcW w:w="252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9A633DC">
            <w:pPr>
              <w:spacing w:after="0" w:line="252" w:lineRule="auto"/>
              <w:jc w:val="left"/>
            </w:pPr>
            <w:r>
              <w:rPr>
                <w:rFonts w:ascii="Arial Unicode" w:hAnsi="Arial Unicode" w:eastAsia="Arial Unicode"/>
                <w:sz w:val="17"/>
              </w:rPr>
              <w:t>在线客服、机器人版本及会话包、呼叫与质检等模块计费</w:t>
            </w:r>
          </w:p>
        </w:tc>
        <w:tc>
          <w:tcPr>
            <w:tcW w:w="252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1CB39A9">
            <w:pPr>
              <w:spacing w:after="0" w:line="252" w:lineRule="auto"/>
              <w:jc w:val="left"/>
            </w:pPr>
            <w:r>
              <w:rPr>
                <w:rFonts w:ascii="Arial Unicode" w:hAnsi="Arial Unicode" w:eastAsia="Arial Unicode"/>
                <w:sz w:val="17"/>
              </w:rPr>
              <w:t>中低</w:t>
            </w:r>
          </w:p>
        </w:tc>
        <w:tc>
          <w:tcPr>
            <w:tcW w:w="252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A1D5933">
            <w:pPr>
              <w:spacing w:after="0" w:line="252" w:lineRule="auto"/>
              <w:jc w:val="left"/>
            </w:pPr>
            <w:r>
              <w:rPr>
                <w:rFonts w:ascii="Arial Unicode" w:hAnsi="Arial Unicode" w:eastAsia="Arial Unicode"/>
                <w:sz w:val="17"/>
              </w:rPr>
              <w:t>可免费试用，完整价格通常询价</w:t>
            </w:r>
          </w:p>
        </w:tc>
      </w:tr>
      <w:tr w14:paraId="73BA1411">
        <w:trPr>
          <w:jc w:val="center"/>
        </w:trPr>
        <w:tc>
          <w:tcPr>
            <w:tcW w:w="252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EEF4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E1AD092">
            <w:pPr>
              <w:spacing w:after="0" w:line="252" w:lineRule="auto"/>
              <w:jc w:val="left"/>
            </w:pPr>
            <w:r>
              <w:rPr>
                <w:rFonts w:ascii="Arial Unicode" w:hAnsi="Arial Unicode" w:eastAsia="Arial Unicode"/>
                <w:sz w:val="17"/>
              </w:rPr>
              <w:t>美洽</w:t>
            </w:r>
          </w:p>
        </w:tc>
        <w:tc>
          <w:tcPr>
            <w:tcW w:w="252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EEF4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5516BB6">
            <w:pPr>
              <w:spacing w:after="0" w:line="252" w:lineRule="auto"/>
              <w:jc w:val="left"/>
            </w:pPr>
            <w:r>
              <w:rPr>
                <w:rFonts w:ascii="Arial Unicode" w:hAnsi="Arial Unicode" w:eastAsia="Arial Unicode"/>
                <w:sz w:val="17"/>
              </w:rPr>
              <w:t>免费试用或基础能力引流，按坐席、AI、语音及增长模块订阅</w:t>
            </w:r>
          </w:p>
        </w:tc>
        <w:tc>
          <w:tcPr>
            <w:tcW w:w="252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EEF4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91979F3">
            <w:pPr>
              <w:spacing w:after="0" w:line="252" w:lineRule="auto"/>
              <w:jc w:val="left"/>
            </w:pPr>
            <w:r>
              <w:rPr>
                <w:rFonts w:ascii="Arial Unicode" w:hAnsi="Arial Unicode" w:eastAsia="Arial Unicode"/>
                <w:sz w:val="17"/>
              </w:rPr>
              <w:t>中低</w:t>
            </w:r>
          </w:p>
        </w:tc>
        <w:tc>
          <w:tcPr>
            <w:tcW w:w="252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EEF4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4E72B85">
            <w:pPr>
              <w:spacing w:after="0" w:line="252" w:lineRule="auto"/>
              <w:jc w:val="left"/>
            </w:pPr>
            <w:r>
              <w:rPr>
                <w:rFonts w:ascii="Arial Unicode" w:hAnsi="Arial Unicode" w:eastAsia="Arial Unicode"/>
                <w:sz w:val="17"/>
              </w:rPr>
              <w:t>中小团队进入门槛低，高阶 AI 与渠道能力需核算增购</w:t>
            </w:r>
          </w:p>
        </w:tc>
      </w:tr>
      <w:tr w14:paraId="49784804">
        <w:trPr>
          <w:jc w:val="center"/>
        </w:trPr>
        <w:tc>
          <w:tcPr>
            <w:tcW w:w="252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3FD5ED1">
            <w:pPr>
              <w:spacing w:after="0" w:line="252" w:lineRule="auto"/>
              <w:jc w:val="left"/>
            </w:pPr>
            <w:r>
              <w:rPr>
                <w:rFonts w:ascii="Arial Unicode" w:hAnsi="Arial Unicode" w:eastAsia="Arial Unicode"/>
                <w:sz w:val="17"/>
              </w:rPr>
              <w:t>腾讯云 TCCC</w:t>
            </w:r>
          </w:p>
        </w:tc>
        <w:tc>
          <w:tcPr>
            <w:tcW w:w="252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E1C6B76">
            <w:pPr>
              <w:spacing w:after="0" w:line="252" w:lineRule="auto"/>
              <w:jc w:val="left"/>
            </w:pPr>
            <w:r>
              <w:rPr>
                <w:rFonts w:ascii="Arial Unicode" w:hAnsi="Arial Unicode" w:eastAsia="Arial Unicode"/>
                <w:sz w:val="17"/>
              </w:rPr>
              <w:t>套餐加坐席许可、通信量、智能体消息包</w:t>
            </w:r>
          </w:p>
        </w:tc>
        <w:tc>
          <w:tcPr>
            <w:tcW w:w="252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6254C32">
            <w:pPr>
              <w:spacing w:after="0" w:line="252" w:lineRule="auto"/>
              <w:jc w:val="left"/>
            </w:pPr>
            <w:r>
              <w:rPr>
                <w:rFonts w:ascii="Arial Unicode" w:hAnsi="Arial Unicode" w:eastAsia="Arial Unicode"/>
                <w:sz w:val="17"/>
              </w:rPr>
              <w:t>高</w:t>
            </w:r>
          </w:p>
        </w:tc>
        <w:tc>
          <w:tcPr>
            <w:tcW w:w="252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3124A86">
            <w:pPr>
              <w:spacing w:after="0" w:line="252" w:lineRule="auto"/>
              <w:jc w:val="left"/>
            </w:pPr>
            <w:r>
              <w:rPr>
                <w:rFonts w:ascii="Arial Unicode" w:hAnsi="Arial Unicode" w:eastAsia="Arial Unicode"/>
                <w:sz w:val="17"/>
              </w:rPr>
              <w:t>2026 年公开价：国内标准版 1000 元/月、含 3 个许可；额外许可 199 元/人/月；10 万条智能体消息 3000 元/年</w:t>
            </w:r>
          </w:p>
        </w:tc>
      </w:tr>
    </w:tbl>
    <w:p w14:paraId="49711F46">
      <w:pPr>
        <w:spacing w:after="20"/>
      </w:pPr>
    </w:p>
    <w:p w14:paraId="4663F624">
      <w:r>
        <w:t>市场普遍存在“报价不透明”问题。企业容易只比较基础坐席费，忽略消息包、模型调用、语音线路、知识扩容、接口开发、私有化部署和长期运营。新产品若能提供按月可预测的套餐、用量预警和 ROI 看板，会形成明显信任优势。</w:t>
      </w:r>
    </w:p>
    <w:p w14:paraId="7DDF79B9">
      <w:pPr>
        <w:pStyle w:val="3"/>
      </w:pPr>
      <w:r>
        <w:t>八 用户痛点与机会判断</w:t>
      </w:r>
    </w:p>
    <w:p w14:paraId="3C2688AA">
      <w:r>
        <w:t>公开讨论和消费者调查反复出现五类问题。第一，机器人答非所问。艾媒调查显示，51.4% 的消费者认为 AI 客服除固定话术外难以解决个性化问题，47.9% 认为其不能准确理解问题。第二，转人工入口隐藏、排队久或反复转接。江苏省消保委调查中，71.2% 的消费者遇到机器人答非所问，23.6% 表示找不到人工或遭遇推诿。第三，用户在机器人和人工之间重复描述，历史上下文没有随工单流转。第四，涉及退款、投诉、账户安全等高风险事项时，系统缺乏明确的权限、进度和责任说明。第五，企业端知识维护、模型调优和费用测算复杂，AI 上线后仍需要长期运营。</w:t>
      </w:r>
    </w:p>
    <w:p w14:paraId="7548A4DF">
      <w:r>
        <w:t>知乎公开讨论也呈现相同分化：用户认可 7×24 小时、即时响应和处理高频问题的效率，但反感关键词式回复、无法退出机器人流程和“回复了却没解决”。因此，产品不应以机器人拦截率作为唯一北极星指标。更合理的核心指标应包括一次解决率、任务完成率、无效循环率、转人工等待时长、上下文继承率、投诉升级率和客户满意度。</w:t>
      </w:r>
    </w:p>
    <w:p w14:paraId="6C307DEB">
      <w:pPr>
        <w:pStyle w:val="3"/>
      </w:pPr>
      <w:r>
        <w:t>九 差异化产品建议</w:t>
      </w:r>
    </w:p>
    <w:p w14:paraId="5F26737C">
      <w:r>
        <w:t>建议新产品定位为“可解释、可接管、可闭环的 AI 客服”，先服务 20—200 人规模、拥有标准订单或售后流程的成长型企业。MVP 不必复制完整呼叫中心，而应聚焦五点：一是答案默认展示知识来源和更新时间，低置信度主动拒答；二是用户一句话即可转人工，AI 自动生成问题摘要并携带历史上下文；三是用可视化流程连接订单查询、退款申请、预约和工单，不只提供 FAQ；四是提供 Bad Case 收件箱，将答错、重复追问和人工改写自动沉淀为待优化项；五是采用透明套餐，清楚展示坐席、消息量、模型调用和超额成本。</w:t>
      </w:r>
    </w:p>
    <w:p w14:paraId="0009467D">
      <w:r>
        <w:t>长期可进一步建立行业模板。电商重点解决物流、退换货和活动规则；教育重点解决课程咨询、试听预约和续费；企业服务重点解决产品使用、权限和故障工单。差异化不应是宣称“更大的模型”，而是让企业以更少配置获得可验证的问题解决效果，让消费者在 AI 无法处理时顺利获得人工帮助。</w:t>
      </w:r>
    </w:p>
    <w:p w14:paraId="33E08A74">
      <w:pPr>
        <w:pStyle w:val="3"/>
      </w:pPr>
      <w:r>
        <w:t>十 结论</w:t>
      </w:r>
    </w:p>
    <w:p w14:paraId="47D180CE">
      <w:r>
        <w:t>AI 智能客服已进入成熟基础能力加速同质化、复杂业务能力重新分层的阶段。Udesk、智齿胜在全栈和行业交付，七鱼胜在均衡与网易技术生态，美洽胜在轻量接入与获客，腾讯云胜在通信、模型和开发平台。它们的共同短板是价格边界不够透明、部署后运营负担被低估，以及“响应”与“解决”之间仍有差距。</w:t>
      </w:r>
    </w:p>
    <w:p w14:paraId="42A1DD57">
      <w:r>
        <w:t>新产品最有价值的突破口，是把可信回答、无障碍转人工、任务闭环和持续运营设计成默认能力，并用可观测指标证明结果。当产品能够减少用户重复描述、减少无效循环、让每个回答可追溯、让每个未解决问题有明确去向时，AI 客服才真正从企业的降本工具变成用户愿意使用的服务入口。</w:t>
      </w:r>
    </w:p>
    <w:p w14:paraId="3EB55F11">
      <w:pPr>
        <w:pStyle w:val="3"/>
      </w:pPr>
      <w:r>
        <w:t>主要资料来源</w:t>
      </w:r>
    </w:p>
    <w:p w14:paraId="0515CFD1">
      <w:pPr>
        <w:spacing w:after="60"/>
        <w:ind w:left="259" w:hanging="259"/>
      </w:pPr>
      <w:r>
        <w:rPr>
          <w:color w:val="374151"/>
          <w:sz w:val="17"/>
        </w:rPr>
        <w:t>1. Grand View Research，AI for Customer Service Market：https://www.grandviewresearch.com/industry-analysis/ai-customer-service-market-report</w:t>
      </w:r>
    </w:p>
    <w:p w14:paraId="1DB3ACFC">
      <w:pPr>
        <w:spacing w:after="60"/>
        <w:ind w:left="259" w:hanging="259"/>
      </w:pPr>
      <w:r>
        <w:rPr>
          <w:color w:val="374151"/>
          <w:sz w:val="17"/>
        </w:rPr>
        <w:t>2. Gartner，Forecast Analysis CRM Customer Service and Support Software Worldwide：https://www.gartner.com/en/documents/6258351</w:t>
      </w:r>
    </w:p>
    <w:p w14:paraId="54568E9E">
      <w:pPr>
        <w:spacing w:after="60"/>
        <w:ind w:left="259" w:hanging="259"/>
      </w:pPr>
      <w:r>
        <w:rPr>
          <w:color w:val="374151"/>
          <w:sz w:val="17"/>
        </w:rPr>
        <w:t>3. 北京证券交易所公开披露文件（转引艾媒咨询中国智能客服市场数据）：https://www.bse.cn/disclosure/2026/2026-06-30/c33c9c6c3a2a46939c798263d87be4b1.pdf</w:t>
      </w:r>
    </w:p>
    <w:p w14:paraId="69DBEC19">
      <w:pPr>
        <w:spacing w:after="60"/>
        <w:ind w:left="259" w:hanging="259"/>
      </w:pPr>
      <w:r>
        <w:rPr>
          <w:color w:val="374151"/>
          <w:sz w:val="17"/>
        </w:rPr>
        <w:t>4. Udesk 产品与公司介绍：https://www.udesk.cn/feature_udesk.html；https://www.udesk.cn/v1/about_us.html</w:t>
      </w:r>
    </w:p>
    <w:p w14:paraId="43273E96">
      <w:pPr>
        <w:spacing w:after="60"/>
        <w:ind w:left="259" w:hanging="259"/>
      </w:pPr>
      <w:r>
        <w:rPr>
          <w:color w:val="374151"/>
          <w:sz w:val="17"/>
        </w:rPr>
        <w:t>5. 智齿科技产品与公司介绍：https://www.zhichi.com/；https://www.zhichi.com/about-zhichi/</w:t>
      </w:r>
    </w:p>
    <w:p w14:paraId="11D6217F">
      <w:pPr>
        <w:spacing w:after="60"/>
        <w:ind w:left="259" w:hanging="259"/>
      </w:pPr>
      <w:r>
        <w:rPr>
          <w:color w:val="374151"/>
          <w:sz w:val="17"/>
        </w:rPr>
        <w:t>6. 网易七鱼产品与价格页：https://serve7.aiconn.com/；https://serve7.aiconn.com/price/robot</w:t>
      </w:r>
    </w:p>
    <w:p w14:paraId="45CE1D01">
      <w:pPr>
        <w:spacing w:after="60"/>
        <w:ind w:left="259" w:hanging="259"/>
      </w:pPr>
      <w:r>
        <w:rPr>
          <w:color w:val="374151"/>
          <w:sz w:val="17"/>
        </w:rPr>
        <w:t>7. 美洽产品与公司介绍：https://www.meiqia.com/；https://www.meiqia.com/about</w:t>
      </w:r>
    </w:p>
    <w:p w14:paraId="06E7D854">
      <w:pPr>
        <w:spacing w:after="60"/>
        <w:ind w:left="259" w:hanging="259"/>
      </w:pPr>
      <w:r>
        <w:rPr>
          <w:color w:val="374151"/>
          <w:sz w:val="17"/>
        </w:rPr>
        <w:t>8. 腾讯云客服大模型机器人与 TCCC：https://cloud.tencent.com/product/cslr；https://cloud.tencent.com/product/ccc</w:t>
      </w:r>
    </w:p>
    <w:p w14:paraId="02AC7482">
      <w:pPr>
        <w:spacing w:after="60"/>
        <w:ind w:left="259" w:hanging="259"/>
      </w:pPr>
      <w:r>
        <w:rPr>
          <w:color w:val="374151"/>
          <w:sz w:val="17"/>
        </w:rPr>
        <w:t>9. 腾讯云 TCCC 在线会话计费：https://cloud.tencent.com/document/product/679/116646</w:t>
      </w:r>
    </w:p>
    <w:p w14:paraId="5D3C8E4C">
      <w:pPr>
        <w:spacing w:after="60"/>
        <w:ind w:left="259" w:hanging="259"/>
      </w:pPr>
      <w:r>
        <w:rPr>
          <w:color w:val="374151"/>
          <w:sz w:val="17"/>
        </w:rPr>
        <w:t>10. 中国城市报关于智能客服体验的调查报道：https://paper.people.com.cn/zgcsb/pc/attachement/202411/18/a727e175-5ab0-4909-b62b-06b79b8fca96.pdf</w:t>
      </w:r>
    </w:p>
    <w:p w14:paraId="611566BA">
      <w:pPr>
        <w:spacing w:after="60"/>
        <w:ind w:left="259" w:hanging="259"/>
      </w:pPr>
      <w:r>
        <w:rPr>
          <w:color w:val="374151"/>
          <w:sz w:val="17"/>
        </w:rPr>
        <w:t>11. 消费者调查报道（转引江苏省消保委数据）：https://e.chinacqsb.com/attachment/202312/29/46457c70-958c-4c5e-9ff1-4a87420eec8a.pdf</w:t>
      </w:r>
    </w:p>
    <w:p w14:paraId="7F09F24A">
      <w:pPr>
        <w:spacing w:after="60"/>
        <w:ind w:left="259" w:hanging="259"/>
      </w:pPr>
      <w:r>
        <w:rPr>
          <w:color w:val="374151"/>
          <w:sz w:val="17"/>
        </w:rPr>
        <w:t>12. 知乎公开讨论样本：https://www.zhihu.com/question/1953574720/answer/2058962765302206941；https://www.zhihu.com/question/6506691745/answer/2043375421853525132</w:t>
      </w:r>
    </w:p>
    <w:p w14:paraId="23B4F1C1">
      <w:pPr>
        <w:spacing w:before="120"/>
        <w:ind w:left="360" w:right="216"/>
      </w:pPr>
      <w:bookmarkStart w:id="0" w:name="_GoBack"/>
      <w:bookmarkEnd w:id="0"/>
    </w:p>
    <w:sectPr>
      <w:footerReference r:id="rId5" w:type="default"/>
      <w:pgSz w:w="12240" w:h="15840"/>
      <w:pgMar w:top="1037" w:right="1080" w:bottom="979" w:left="108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Cambria">
    <w:altName w:val="苹方-简"/>
    <w:panose1 w:val="02040503050406030204"/>
    <w:charset w:val="00"/>
    <w:family w:val="auto"/>
    <w:pitch w:val="default"/>
    <w:sig w:usb0="00000000" w:usb1="00000000" w:usb2="00000000" w:usb3="00000000" w:csb0="0000019F" w:csb1="00000000"/>
  </w:font>
  <w:font w:name="ＭＳ 明朝">
    <w:altName w:val="Hiragino Sans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Hiragino San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 Unicode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ＭＳ ゴシック">
    <w:altName w:val="Hiragino Sans"/>
    <w:panose1 w:val="00000000000000000000"/>
    <w:charset w:val="80"/>
    <w:family w:val="modern"/>
    <w:pitch w:val="default"/>
    <w:sig w:usb0="00000000" w:usb1="00000000" w:usb2="00000010" w:usb3="00000000" w:csb0="00020000" w:csb1="00000000"/>
  </w:font>
  <w:font w:name="Courier">
    <w:altName w:val="苹方-简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Hiragino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iragino Sans">
    <w:panose1 w:val="020B0300000000000000"/>
    <w:charset w:val="80"/>
    <w:family w:val="auto"/>
    <w:pitch w:val="default"/>
    <w:sig w:usb0="E00002FF" w:usb1="7AE7FFFF" w:usb2="00000012" w:usb3="00000000" w:csb0="0002000D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ＭＳ ゴシック">
    <w:altName w:val="Arial Unicode M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Arial">
    <w:panose1 w:val="020B0604020202090204"/>
    <w:charset w:val="00"/>
    <w:family w:val="auto"/>
    <w:pitch w:val="default"/>
    <w:sig w:usb0="E0000AFF" w:usb1="00007843" w:usb2="00000001" w:usb3="00000000" w:csb0="400001BF" w:csb1="DFF7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E74A98C">
    <w:pPr>
      <w:pStyle w:val="24"/>
      <w:jc w:val="center"/>
    </w:pPr>
    <w:r>
      <w:rPr>
        <w:color w:val="787878"/>
        <w:sz w:val="16"/>
      </w:rPr>
      <w:t xml:space="preserve">AI智能客服竞品分析报告  · 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00" w:lineRule="auto"/>
      </w:pPr>
      <w:r>
        <w:separator/>
      </w:r>
    </w:p>
  </w:footnote>
  <w:footnote w:type="continuationSeparator" w:id="1">
    <w:p>
      <w:pPr>
        <w:spacing w:before="0" w:after="0" w:line="30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81"/>
  <w:doNotDisplayPageBoundaries w:val="1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777B041D"/>
    <w:rsid w:val="7F5F2309"/>
    <w:rsid w:val="D7BB56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20" w:line="300" w:lineRule="auto"/>
    </w:pPr>
    <w:rPr>
      <w:rFonts w:ascii="Arial Unicode" w:hAnsi="Arial Unicode" w:eastAsia="Arial Unicode" w:cstheme="minorBidi"/>
      <w:color w:val="1F2937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240" w:after="140"/>
      <w:outlineLvl w:val="0"/>
    </w:pPr>
    <w:rPr>
      <w:rFonts w:asciiTheme="majorHAnsi" w:hAnsiTheme="majorHAnsi" w:eastAsiaTheme="majorEastAsia" w:cstheme="majorBidi"/>
      <w:b/>
      <w:bCs/>
      <w:color w:val="000000"/>
      <w:sz w:val="32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40" w:after="140"/>
      <w:outlineLvl w:val="1"/>
    </w:pPr>
    <w:rPr>
      <w:rFonts w:asciiTheme="majorHAnsi" w:hAnsiTheme="majorHAnsi" w:eastAsiaTheme="majorEastAsia" w:cstheme="majorBidi"/>
      <w:b/>
      <w:bCs/>
      <w:color w:val="000000"/>
      <w:sz w:val="26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spacing w:after="360" w:line="240" w:lineRule="auto"/>
      <w:contextualSpacing/>
    </w:pPr>
    <w:rPr>
      <w:rFonts w:asciiTheme="majorHAnsi" w:hAnsiTheme="majorHAnsi" w:eastAsiaTheme="majorEastAsia" w:cstheme="majorBidi"/>
      <w:b/>
      <w:color w:val="000000"/>
      <w:spacing w:val="5"/>
      <w:kern w:val="28"/>
      <w:sz w:val="48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tyleName="APA" SelectedStyle="/APA.XSL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Office_12.1.28496.28496_F1E327BC-269C-435d-A152-05C5408002CA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2013-12-24T07:15:00Z</dcterms:created>
  <dc:creator>产品研究</dc:creator>
  <dc:description>generated by python-docx</dc:description>
  <cp:lastModifiedBy>戏痞.</cp:lastModifiedBy>
  <dcterms:modified xsi:type="dcterms:W3CDTF">2026-10-11T21:07:46Z</dcterms:modified>
  <dc:subject>AI智能客服市场与竞品分析</dc:subject>
  <dc:title>AI智能客服竞品分析报告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2052-12.1.28496.28496</vt:lpwstr>
  </property>
  <property fmtid="{D5CDD505-2E9C-101B-9397-08002B2CF9AE}" pid="3" name="ICV">
    <vt:lpwstr>CA6DCE4D634BE66F028ACB6A11E9A7E0_42</vt:lpwstr>
  </property>
</Properties>
</file>