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/>
          <w:sz w:val="32"/>
        </w:rPr>
        <w:t>（编制单位）</w:t>
      </w:r>
    </w:p>
    <w:p>
      <w:pPr>
        <w:jc w:val="center"/>
      </w:pPr>
      <w:r>
        <w:rPr>
          <w:rFonts w:ascii="Times New Roman" w:hAnsi="Times New Roman" w:eastAsia="宋体"/>
          <w:b/>
          <w:sz w:val="52"/>
        </w:rPr>
        <w:t>数据安全工具箱</w:t>
      </w:r>
    </w:p>
    <w:p>
      <w:pPr>
        <w:jc w:val="center"/>
      </w:pPr>
      <w:r>
        <w:rPr>
          <w:rFonts w:ascii="Times New Roman" w:hAnsi="Times New Roman" w:eastAsia="宋体"/>
          <w:b/>
          <w:sz w:val="44"/>
        </w:rPr>
        <w:t>作业指导书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文件编号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FRICSE／PD／T-XXX：2026(A／0)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控制状态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发放编号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编制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校对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审核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批准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发布日期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2026年09月04日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实施日期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2026年09月04日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修订页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更改状态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对应的章、节、条号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修订内容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更改人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批准人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批准日期</w:t>
            </w:r>
          </w:p>
        </w:tc>
      </w:tr>
    </w:tbl>
    <w:p>
      <w:r>
        <w:br w:type="page"/>
      </w:r>
    </w:p>
    <w:p>
      <w:r>
        <w:rPr>
          <w:rFonts w:ascii="Times New Roman" w:hAnsi="Times New Roman" w:eastAsia="宋体"/>
          <w:b/>
          <w:sz w:val="30"/>
        </w:rPr>
        <w:t>1 目的</w:t>
      </w:r>
    </w:p>
    <w:p>
      <w:r>
        <w:rPr>
          <w:rFonts w:ascii="Times New Roman" w:hAnsi="Times New Roman" w:eastAsia="宋体"/>
        </w:rPr>
        <w:t>数据安全工具箱针对企业数据安全检测与审计的“可发现、可处理、可审计、可度量”目标进行规划与设计，提供基于统一插件化检测引擎的数据安全能力，包括数据资产识别、敏感数据（PII/密钥/YARA）检测、文件元数据分析、PCAP 协议分析与流量分析、威胁情报、事件关联与安全告警、报告输出等，能够同时满足企业数据安全合规需求与实际运维分析需求，及时有效发现异常与违规事件，是企业数据安全日常管理工作的重要支撑平台。</w:t>
      </w:r>
    </w:p>
    <w:p>
      <w:r>
        <w:rPr>
          <w:rFonts w:ascii="Times New Roman" w:hAnsi="Times New Roman" w:eastAsia="宋体"/>
        </w:rPr>
        <w:t>本作业指导书的编写目的是指导测评实施人员、运维人员与安全分析人员在现场实际开展数据安全工具箱的部署、配置、使用与维护工作，并根据工作的深入开展及时更新本指导书，以保证指导书的高指导性。</w:t>
      </w:r>
    </w:p>
    <w:p>
      <w:r>
        <w:rPr>
          <w:rFonts w:ascii="Times New Roman" w:hAnsi="Times New Roman" w:eastAsia="宋体"/>
          <w:b/>
          <w:sz w:val="30"/>
        </w:rPr>
        <w:t>2 适用范围</w:t>
      </w:r>
    </w:p>
    <w:p>
      <w:r>
        <w:rPr>
          <w:rFonts w:ascii="Times New Roman" w:hAnsi="Times New Roman" w:eastAsia="宋体"/>
        </w:rPr>
        <w:t>本手册适用于在现场测评实施、数据安全运营与平台运维中负责数据安全工具箱部署、配置、检测、分析与维护的相关人员。</w:t>
      </w:r>
    </w:p>
    <w:p>
      <w:r>
        <w:rPr>
          <w:rFonts w:ascii="Times New Roman" w:hAnsi="Times New Roman" w:eastAsia="宋体"/>
          <w:b/>
          <w:sz w:val="30"/>
        </w:rPr>
        <w:t>3 职责</w:t>
      </w:r>
    </w:p>
    <w:p>
      <w:r>
        <w:rPr>
          <w:rFonts w:ascii="Times New Roman" w:hAnsi="Times New Roman" w:eastAsia="宋体"/>
          <w:b/>
          <w:sz w:val="26"/>
        </w:rPr>
        <w:t>3.1 部署实施人员</w:t>
      </w:r>
    </w:p>
    <w:p>
      <w:pPr>
        <w:pStyle w:val="ListBullet"/>
      </w:pPr>
      <w:r>
        <w:rPr>
          <w:rFonts w:ascii="Times New Roman" w:hAnsi="Times New Roman" w:eastAsia="宋体"/>
        </w:rPr>
        <w:t>部署实施人员应在客观、公正的情形下，按照测评双方相互认可的部署方案，基于明确定义的部署方式和解释实施部署活动；</w:t>
      </w:r>
    </w:p>
    <w:p>
      <w:pPr>
        <w:pStyle w:val="ListBullet"/>
      </w:pPr>
      <w:r>
        <w:rPr>
          <w:rFonts w:ascii="Times New Roman" w:hAnsi="Times New Roman" w:eastAsia="宋体"/>
        </w:rPr>
        <w:t>部署实施人员应正确理解部署项，并具有良好的判断；</w:t>
      </w:r>
    </w:p>
    <w:p>
      <w:pPr>
        <w:pStyle w:val="ListBullet"/>
      </w:pPr>
      <w:r>
        <w:rPr>
          <w:rFonts w:ascii="Times New Roman" w:hAnsi="Times New Roman" w:eastAsia="宋体"/>
        </w:rPr>
        <w:t>部署实施人员应注意测评记录和证据的接收、处理、存储和销毁，保护其在测评期间免遭改变和遗失，并保守秘密；</w:t>
      </w:r>
    </w:p>
    <w:p>
      <w:pPr>
        <w:pStyle w:val="ListBullet"/>
      </w:pPr>
      <w:r>
        <w:rPr>
          <w:rFonts w:ascii="Times New Roman" w:hAnsi="Times New Roman" w:eastAsia="宋体"/>
        </w:rPr>
        <w:t>部署实施人员应遵循正确的部署方法进行现场部署和结果判定，以确保满足相关标准的要求；</w:t>
      </w:r>
    </w:p>
    <w:p>
      <w:pPr>
        <w:pStyle w:val="ListBullet"/>
      </w:pPr>
      <w:r>
        <w:rPr>
          <w:rFonts w:ascii="Times New Roman" w:hAnsi="Times New Roman" w:eastAsia="宋体"/>
        </w:rPr>
        <w:t>部署实施人员在完成现场部署并填写完各类检查表后，应检查确认内容填写完整无误，签字确认，并将检查表交给被测方配合人员确认并签字。</w:t>
      </w:r>
    </w:p>
    <w:p>
      <w:r>
        <w:rPr>
          <w:rFonts w:ascii="Times New Roman" w:hAnsi="Times New Roman" w:eastAsia="宋体"/>
          <w:b/>
          <w:sz w:val="30"/>
        </w:rPr>
        <w:t>4 安装部署</w:t>
      </w:r>
    </w:p>
    <w:p>
      <w:r>
        <w:rPr>
          <w:rFonts w:ascii="Times New Roman" w:hAnsi="Times New Roman" w:eastAsia="宋体"/>
        </w:rPr>
        <w:t>本章主要讲解平台部署与升级过程中的流程、注意事项、准备工作以及操作步骤。</w:t>
      </w:r>
    </w:p>
    <w:p>
      <w:r>
        <w:rPr>
          <w:rFonts w:ascii="Times New Roman" w:hAnsi="Times New Roman" w:eastAsia="宋体"/>
          <w:b/>
          <w:sz w:val="26"/>
        </w:rPr>
        <w:t>4.1 注意事项</w:t>
      </w:r>
    </w:p>
    <w:p>
      <w:pPr>
        <w:pStyle w:val="ListBullet"/>
      </w:pPr>
      <w:r>
        <w:rPr>
          <w:rFonts w:ascii="Times New Roman" w:hAnsi="Times New Roman" w:eastAsia="宋体"/>
        </w:rPr>
        <w:t>部署前务必确认 `.env` 中已配置强口令：`SECRET_KEY`（≥32 位随机字符）、`POSTGRES_PASSWORD`、`ADMIN_PASSWORD`、`PROBE_BOOTSTRAP_TOKEN`；</w:t>
      </w:r>
    </w:p>
    <w:p>
      <w:pPr>
        <w:pStyle w:val="ListBullet"/>
      </w:pPr>
      <w:r>
        <w:rPr>
          <w:rFonts w:ascii="Times New Roman" w:hAnsi="Times New Roman" w:eastAsia="宋体"/>
        </w:rPr>
        <w:t>本地 HTTP 环境设置 `COOKIE_SECURE=false`，生产 HTTPS 部署请设为 `true`；</w:t>
      </w:r>
    </w:p>
    <w:p>
      <w:pPr>
        <w:pStyle w:val="ListBullet"/>
      </w:pPr>
      <w:r>
        <w:rPr>
          <w:rFonts w:ascii="Times New Roman" w:hAnsi="Times New Roman" w:eastAsia="宋体"/>
        </w:rPr>
        <w:t>`PRESIDIO_ENABLED` 默认关闭，避免首次调用下载数百 MB spaCy 中文模型阻塞 worker；需 Presidio 中文 PII 时设为 `true` 并预置模型；</w:t>
      </w:r>
    </w:p>
    <w:p>
      <w:pPr>
        <w:pStyle w:val="ListBullet"/>
      </w:pPr>
      <w:r>
        <w:rPr>
          <w:rFonts w:ascii="Times New Roman" w:hAnsi="Times New Roman" w:eastAsia="宋体"/>
        </w:rPr>
        <w:t>高流量接口会触发后端 429 背压（`QUEUE_PENDING_MAX` / `QUEUE_OLDEST_PENDING_SECONDS`），应按目标主机实际流量调整；</w:t>
      </w:r>
    </w:p>
    <w:p>
      <w:pPr>
        <w:pStyle w:val="ListBullet"/>
      </w:pPr>
      <w:r>
        <w:rPr>
          <w:rFonts w:ascii="Times New Roman" w:hAnsi="Times New Roman" w:eastAsia="宋体"/>
        </w:rPr>
        <w:t>探针以 root 手动运行时 dumpcap 会降权，spool 目录需可写（`chmod 777` 或由运行用户属主）。</w:t>
      </w:r>
    </w:p>
    <w:p>
      <w:r>
        <w:rPr>
          <w:rFonts w:ascii="Times New Roman" w:hAnsi="Times New Roman" w:eastAsia="宋体"/>
          <w:b/>
          <w:sz w:val="26"/>
        </w:rPr>
        <w:t>4.2 部署前准备</w:t>
      </w:r>
    </w:p>
    <w:p>
      <w:r>
        <w:rPr>
          <w:rFonts w:ascii="Times New Roman" w:hAnsi="Times New Roman" w:eastAsia="宋体"/>
          <w:b/>
          <w:sz w:val="24"/>
        </w:rPr>
        <w:t>4.2.1 环境要求</w:t>
      </w:r>
    </w:p>
    <w:p>
      <w:r>
        <w:rPr>
          <w:rFonts w:ascii="Times New Roman" w:hAnsi="Times New Roman" w:eastAsia="宋体"/>
        </w:rPr>
        <w:t>为保证系统长期稳定运行，应保证电源有良好的接地措施、防尘措施、保持使用环境的空气通畅和室温稳定，建议环境温度 10-35℃、湿度 35%-80%。平台的安放、使用和报废应遵照国家相关法律法规要求。</w:t>
      </w:r>
    </w:p>
    <w:p>
      <w:r>
        <w:rPr>
          <w:rFonts w:ascii="Times New Roman" w:hAnsi="Times New Roman" w:eastAsia="宋体"/>
          <w:b/>
          <w:sz w:val="24"/>
        </w:rPr>
        <w:t>4.2.2 软硬件要求</w:t>
      </w:r>
    </w:p>
    <w:p>
      <w:r>
        <w:rPr>
          <w:rFonts w:ascii="Times New Roman" w:hAnsi="Times New Roman" w:eastAsia="宋体"/>
        </w:rPr>
        <w:t>后端基于 Docker Compose 运行，需要 Docker 与 Docker Compose；前端为 Vue 3 + Element Plus + ECharts；数据库 PostgreSQL 16、缓存 Redis 7。探针需 Python 3.11+（`tomllib`、`datetime.UTC`）、`requests`、`psutil`，以及 `dumpcap`（优先）或 `tcpdump`。分析引擎依赖 tshark / Zeek / Suricata / nmap。</w:t>
      </w:r>
    </w:p>
    <w:p>
      <w:r>
        <w:rPr>
          <w:rFonts w:ascii="Times New Roman" w:hAnsi="Times New Roman" w:eastAsia="宋体"/>
          <w:b/>
          <w:sz w:val="26"/>
        </w:rPr>
        <w:t>4.3 部署模式（在线 / 单机）</w:t>
      </w:r>
    </w:p>
    <w:p>
      <w:pPr>
        <w:pStyle w:val="ListBullet"/>
      </w:pPr>
      <w:r>
        <w:rPr>
          <w:rFonts w:ascii="Times New Roman" w:hAnsi="Times New Roman" w:eastAsia="宋体"/>
        </w:rPr>
        <w:t>复制环境变量模板并填写强口令：`cp .env.example .env`；</w:t>
      </w:r>
    </w:p>
    <w:p>
      <w:pPr>
        <w:pStyle w:val="ListBullet"/>
      </w:pPr>
      <w:r>
        <w:rPr>
          <w:rFonts w:ascii="Times New Roman" w:hAnsi="Times New Roman" w:eastAsia="宋体"/>
        </w:rPr>
        <w:t>构建并启动：`docker compose build`、`docker compose up -d`；</w:t>
      </w:r>
    </w:p>
    <w:p>
      <w:pPr>
        <w:pStyle w:val="ListBullet"/>
      </w:pPr>
      <w:r>
        <w:rPr>
          <w:rFonts w:ascii="Times New Roman" w:hAnsi="Times New Roman" w:eastAsia="宋体"/>
        </w:rPr>
        <w:t>初始化管理员与系统设置：`docker compose exec backend python scripts/seed.py`；</w:t>
      </w:r>
    </w:p>
    <w:p>
      <w:pPr>
        <w:pStyle w:val="ListBullet"/>
      </w:pPr>
      <w:r>
        <w:rPr>
          <w:rFonts w:ascii="Times New Roman" w:hAnsi="Times New Roman" w:eastAsia="宋体"/>
        </w:rPr>
        <w:t>后端容器启动时自动执行 `alembic upgrade head` 建表（迁移已做幂等处理，可安全重建）。</w:t>
      </w:r>
    </w:p>
    <w:p>
      <w:r>
        <w:rPr>
          <w:rFonts w:ascii="Times New Roman" w:hAnsi="Times New Roman" w:eastAsia="宋体"/>
        </w:rPr>
        <w:t>访问入口：前端 `http://localhost:8080`（nginx 代理 `/api/` 到后端 `:8000`）；后端 API `http://localhost:8000`；OpenAPI `http://localhost:8000/docs`。</w:t>
      </w:r>
    </w:p>
    <w:p>
      <w:r>
        <w:rPr>
          <w:rFonts w:ascii="Times New Roman" w:hAnsi="Times New Roman" w:eastAsia="宋体"/>
          <w:b/>
          <w:sz w:val="26"/>
        </w:rPr>
        <w:t>4.4 探针部署</w:t>
      </w:r>
    </w:p>
    <w:p>
      <w:r>
        <w:rPr>
          <w:rFonts w:ascii="Times New Roman" w:hAnsi="Times New Roman" w:eastAsia="宋体"/>
        </w:rPr>
        <w:t>探针部署在受监控主机，负责抓包、资产端口采集与目标文件采集。安装与运行：</w:t>
      </w:r>
    </w:p>
    <w:p>
      <w:pPr>
        <w:pStyle w:val="ListBullet"/>
      </w:pPr>
      <w:r>
        <w:rPr>
          <w:rFonts w:ascii="Times New Roman" w:hAnsi="Times New Roman" w:eastAsia="宋体"/>
        </w:rPr>
        <w:t>安装探针（创建 dstprobe 用户、systemd 服务、配置目录）：`cd probe &amp;&amp; sudo ./install.sh`；</w:t>
      </w:r>
    </w:p>
    <w:p>
      <w:pPr>
        <w:pStyle w:val="ListBullet"/>
      </w:pPr>
      <w:r>
        <w:rPr>
          <w:rFonts w:ascii="Times New Roman" w:hAnsi="Times New Roman" w:eastAsia="宋体"/>
        </w:rPr>
        <w:t>编辑配置 `/etc/data-security-toolbox/probe.toml`，配置 `[server] url`、`[capture] interface`、`[agent] bootstrap_token` 等；</w:t>
      </w:r>
    </w:p>
    <w:p>
      <w:pPr>
        <w:pStyle w:val="ListBullet"/>
      </w:pPr>
      <w:r>
        <w:rPr>
          <w:rFonts w:ascii="Times New Roman" w:hAnsi="Times New Roman" w:eastAsia="宋体"/>
        </w:rPr>
        <w:t>启动 / 重启：`sudo systemctl restart data-security-toolbox-probe`；</w:t>
      </w:r>
    </w:p>
    <w:p>
      <w:pPr>
        <w:pStyle w:val="ListBullet"/>
      </w:pPr>
      <w:r>
        <w:rPr>
          <w:rFonts w:ascii="Times New Roman" w:hAnsi="Times New Roman" w:eastAsia="宋体"/>
        </w:rPr>
        <w:t>手动运行：`python3 probe.py --config /etc/data-security-toolbox/probe.toml`。</w:t>
      </w:r>
    </w:p>
    <w:p>
      <w:r>
        <w:rPr>
          <w:rFonts w:ascii="Times New Roman" w:hAnsi="Times New Roman" w:eastAsia="宋体"/>
        </w:rPr>
        <w:t>探针行为：首次注册返回 `probe_id + token` 并写入身份文件（0600），重启不轮换；抓包分片原子落盘 spool，认证上传 `/api/v1/pcaps/upload`，失败指数退避；心跳上报 CPU/内存/捕获速率/上传状态；`asset_loop` 上报开放端口与 banner；`file_loop` 上传目标文件内容触发敏感检测。</w:t>
      </w:r>
    </w:p>
    <w:p>
      <w:r>
        <w:rPr>
          <w:rFonts w:ascii="Times New Roman" w:hAnsi="Times New Roman" w:eastAsia="宋体"/>
          <w:b/>
          <w:sz w:val="26"/>
        </w:rPr>
        <w:t>4.5 离线部署</w:t>
      </w:r>
    </w:p>
    <w:p>
      <w:pPr>
        <w:pStyle w:val="ListBullet"/>
      </w:pPr>
      <w:r>
        <w:rPr>
          <w:rFonts w:ascii="Times New Roman" w:hAnsi="Times New Roman" w:eastAsia="宋体"/>
        </w:rPr>
        <w:t>在线环境准备离线包：`python scripts/offline_bundle.py`；</w:t>
      </w:r>
    </w:p>
    <w:p>
      <w:pPr>
        <w:pStyle w:val="ListBullet"/>
      </w:pPr>
      <w:r>
        <w:rPr>
          <w:rFonts w:ascii="Times New Roman" w:hAnsi="Times New Roman" w:eastAsia="宋体"/>
        </w:rPr>
        <w:t>目标内网：`docker load &lt; security-toolbox-images.tar`、`docker compose up -d`、`docker compose exec backend alembic upgrade head`、`docker compose exec backend python scripts/seed.py`；</w:t>
      </w:r>
    </w:p>
    <w:p>
      <w:pPr>
        <w:pStyle w:val="ListBullet"/>
      </w:pPr>
      <w:r>
        <w:rPr>
          <w:rFonts w:ascii="Times New Roman" w:hAnsi="Times New Roman" w:eastAsia="宋体"/>
        </w:rPr>
        <w:t>启动集成组件：`docker compose -f docker-compose.yml -f docker-compose.integrations.yml --profile integrations up -d`。</w:t>
      </w:r>
    </w:p>
    <w:p>
      <w:r>
        <w:rPr>
          <w:rFonts w:ascii="Times New Roman" w:hAnsi="Times New Roman" w:eastAsia="宋体"/>
          <w:b/>
          <w:sz w:val="30"/>
        </w:rPr>
        <w:t>5 配置指南</w:t>
      </w:r>
    </w:p>
    <w:p>
      <w:r>
        <w:rPr>
          <w:rFonts w:ascii="Times New Roman" w:hAnsi="Times New Roman" w:eastAsia="宋体"/>
        </w:rPr>
        <w:t>本章按功能模块介绍数据安全工具箱的配置与使用。</w:t>
      </w:r>
    </w:p>
    <w:p>
      <w:r>
        <w:rPr>
          <w:rFonts w:ascii="Times New Roman" w:hAnsi="Times New Roman" w:eastAsia="宋体"/>
          <w:b/>
          <w:sz w:val="26"/>
        </w:rPr>
        <w:t>5.1 首页介绍（安全驾驶舱）</w:t>
      </w:r>
    </w:p>
    <w:p>
      <w:r>
        <w:rPr>
          <w:rFonts w:ascii="Times New Roman" w:hAnsi="Times New Roman" w:eastAsia="宋体"/>
        </w:rPr>
        <w:t>用户登录平台后默认进入安全驾驶舱。默认主页可查看资产概况、风险/事件/告警总览、检测结果、敏感数据、引擎状态、存储概况、队列状态、探针在线情况等。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面板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资产概况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查看 IT 资产数量、高风险资产、敏感数据资产等。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风险 / 事件趋势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查看风险趋势、事件趋势、等级分布。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检测结果 / 告警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查看检测中心结果与告警总览。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敏感数据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查看敏感数据类目聚合（PII / 密钥 / YARA）。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引擎状态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查看各检测引擎（tshark/Zeek/Suricata/Sigma 等）可用性与规则数。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存储 / 队列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查看存储占用、队列 pending/running 状态。</w:t>
            </w:r>
          </w:p>
        </w:tc>
      </w:tr>
    </w:tbl>
    <w:p/>
    <w:p>
      <w:r>
        <w:rPr>
          <w:rFonts w:ascii="Times New Roman" w:hAnsi="Times New Roman" w:eastAsia="宋体"/>
        </w:rPr>
        <w:t>系统支持对面板信息的自定义，用户可通过勾选关注卡片确定首页展示内容。</w:t>
      </w:r>
    </w:p>
    <w:p>
      <w:r>
        <w:rPr>
          <w:rFonts w:ascii="Times New Roman" w:hAnsi="Times New Roman" w:eastAsia="宋体"/>
          <w:b/>
          <w:sz w:val="26"/>
        </w:rPr>
        <w:t>5.2 数据接入与采集</w:t>
      </w:r>
    </w:p>
    <w:p>
      <w:r>
        <w:rPr>
          <w:rFonts w:ascii="Times New Roman" w:hAnsi="Times New Roman" w:eastAsia="宋体"/>
        </w:rPr>
        <w:t>平台通过探针采集、文件上传、PCAP 上传与外部引擎接入实现对多源数据的采集与解析。</w:t>
      </w:r>
    </w:p>
    <w:p>
      <w:r>
        <w:rPr>
          <w:rFonts w:ascii="Times New Roman" w:hAnsi="Times New Roman" w:eastAsia="宋体"/>
          <w:b/>
          <w:sz w:val="24"/>
        </w:rPr>
        <w:t>5.2.1 探针采集</w:t>
      </w:r>
    </w:p>
    <w:p>
      <w:r>
        <w:rPr>
          <w:rFonts w:ascii="Times New Roman" w:hAnsi="Times New Roman" w:eastAsia="宋体"/>
        </w:rPr>
        <w:t>探针在被监控主机上抓包并分片上传，同时上报开放端口、banner 与目标文件内容，为网络分析与资产识别提供数据源。</w:t>
      </w:r>
    </w:p>
    <w:p>
      <w:r>
        <w:rPr>
          <w:rFonts w:ascii="Times New Roman" w:hAnsi="Times New Roman" w:eastAsia="宋体"/>
          <w:b/>
          <w:sz w:val="24"/>
        </w:rPr>
        <w:t>5.2.2 PCAP 上传</w:t>
      </w:r>
    </w:p>
    <w:p>
      <w:r>
        <w:rPr>
          <w:rFonts w:ascii="Times New Roman" w:hAnsi="Times New Roman" w:eastAsia="宋体"/>
        </w:rPr>
        <w:t>在【网络分析→PCAP 工作台】上传 `.pcap` / `.pcapng`，后台自动创建分析任务，用 tshark 解析并跑规则引擎；也可通过 `POST /api/v1/pcaps/upload` 上传。</w:t>
      </w:r>
    </w:p>
    <w:p>
      <w:r>
        <w:rPr>
          <w:rFonts w:ascii="Times New Roman" w:hAnsi="Times New Roman" w:eastAsia="宋体"/>
          <w:b/>
          <w:sz w:val="24"/>
        </w:rPr>
        <w:t>5.2.3 文件上传</w:t>
      </w:r>
    </w:p>
    <w:p>
      <w:r>
        <w:rPr>
          <w:rFonts w:ascii="Times New Roman" w:hAnsi="Times New Roman" w:eastAsia="宋体"/>
        </w:rPr>
        <w:t>在【资产与数据安全→文件分析】上传单个文件做元数据分析与敏感检测；探针 `file_loop` 也可自动上传目标文件内容。</w:t>
      </w:r>
    </w:p>
    <w:p>
      <w:r>
        <w:rPr>
          <w:rFonts w:ascii="Times New Roman" w:hAnsi="Times New Roman" w:eastAsia="宋体"/>
          <w:b/>
          <w:sz w:val="24"/>
        </w:rPr>
        <w:t>5.2.4 集成适配器</w:t>
      </w:r>
    </w:p>
    <w:p>
      <w:r>
        <w:rPr>
          <w:rFonts w:ascii="Times New Roman" w:hAnsi="Times New Roman" w:eastAsia="宋体"/>
        </w:rPr>
        <w:t>通过 Integration Adapter Layer 接入 Zeek、Suricata、Presidio、MISP、Wazuh/osquery、OpenSCAP，解析外部引擎日志并统一输出 DetectionResult。</w:t>
      </w:r>
    </w:p>
    <w:p>
      <w:r>
        <w:rPr>
          <w:rFonts w:ascii="Times New Roman" w:hAnsi="Times New Roman" w:eastAsia="宋体"/>
          <w:b/>
          <w:sz w:val="26"/>
        </w:rPr>
        <w:t>5.3 资产与数据资产管理</w:t>
      </w:r>
    </w:p>
    <w:p>
      <w:r>
        <w:rPr>
          <w:rFonts w:ascii="Times New Roman" w:hAnsi="Times New Roman" w:eastAsia="宋体"/>
          <w:b/>
          <w:sz w:val="24"/>
        </w:rPr>
        <w:t>5.3.1 资产中心</w:t>
      </w:r>
    </w:p>
    <w:p>
      <w:r>
        <w:rPr>
          <w:rFonts w:ascii="Times New Roman" w:hAnsi="Times New Roman" w:eastAsia="宋体"/>
        </w:rPr>
        <w:t>资产中心提供 IT 资产总览，支持按资产组、时间范围（最近 24 小时 / 7 天 / 30 天 / 自定义）筛选，查看资产风险等级、开放端口、banner、关联漏洞与资产关系图。</w:t>
      </w:r>
    </w:p>
    <w:p>
      <w:r>
        <w:rPr>
          <w:rFonts w:ascii="Times New Roman" w:hAnsi="Times New Roman" w:eastAsia="宋体"/>
          <w:b/>
          <w:sz w:val="24"/>
        </w:rPr>
        <w:t>5.3.2 数据资产</w:t>
      </w:r>
    </w:p>
    <w:p>
      <w:r>
        <w:rPr>
          <w:rFonts w:ascii="Times New Roman" w:hAnsi="Times New Roman" w:eastAsia="宋体"/>
        </w:rPr>
        <w:t>数据资产模块对敏感数据分类、资产关系与风险等级进行管理，识别主机、IP、服务、数据库等数据资产。</w:t>
      </w:r>
    </w:p>
    <w:p>
      <w:r>
        <w:rPr>
          <w:rFonts w:ascii="Times New Roman" w:hAnsi="Times New Roman" w:eastAsia="宋体"/>
          <w:b/>
          <w:sz w:val="24"/>
        </w:rPr>
        <w:t>5.3.3 资产关系图</w:t>
      </w:r>
    </w:p>
    <w:p>
      <w:r>
        <w:rPr>
          <w:rFonts w:ascii="Times New Roman" w:hAnsi="Times New Roman" w:eastAsia="宋体"/>
        </w:rPr>
        <w:t>以图形化方式展示资产之间的网络与数据关系，便于整体掌握资产拓扑与暴露面。</w:t>
      </w:r>
    </w:p>
    <w:p>
      <w:r>
        <w:rPr>
          <w:rFonts w:ascii="Times New Roman" w:hAnsi="Times New Roman" w:eastAsia="宋体"/>
          <w:b/>
          <w:sz w:val="26"/>
        </w:rPr>
        <w:t>5.4 网络分析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PCAP 工作台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上传/解析 PCAP，查看协议分布、五元组、数据包分层树 + 原始字节、TCP 流跟踪（stream follow）、异常标记。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会话流探索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全局会话流（五元组、包数、字节、时间），支持协议/IP/端口筛选。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协议分析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全局协议分布（TCP/HTTP/RESP/TLSv1.2/MySQL 等）。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实时流量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探针心跳驱动的实时指标（捕获速率、上传状态）。</w:t>
            </w:r>
          </w:p>
        </w:tc>
      </w:tr>
    </w:tbl>
    <w:p/>
    <w:p>
      <w:r>
        <w:rPr>
          <w:rFonts w:ascii="Times New Roman" w:hAnsi="Times New Roman" w:eastAsia="宋体"/>
          <w:b/>
          <w:sz w:val="26"/>
        </w:rPr>
        <w:t>5.5 敏感数据检测</w:t>
      </w:r>
    </w:p>
    <w:p>
      <w:r>
        <w:rPr>
          <w:rFonts w:ascii="Times New Roman" w:hAnsi="Times New Roman" w:eastAsia="宋体"/>
        </w:rPr>
        <w:t>数据引擎对上传文件与 PCAP 中的真实字节做 PII / 密钥 / YARA 检测，检出结果在【资产与数据安全→敏感发现】聚合展示。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DATA_SECRET_001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密钥 / 口令等敏感数据。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DATA_PII_001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身份证 / 手机号 / 银行卡 / 邮箱等个人信息。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DATA_YARA_001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恶意文件特征（如 eicar）。</w:t>
            </w:r>
          </w:p>
        </w:tc>
      </w:tr>
    </w:tbl>
    <w:p/>
    <w:p>
      <w:r>
        <w:rPr>
          <w:rFonts w:ascii="Times New Roman" w:hAnsi="Times New Roman" w:eastAsia="宋体"/>
          <w:b/>
          <w:sz w:val="26"/>
        </w:rPr>
        <w:t>5.6 告警与事件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告警中心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告警列表、详情、关联资产/IOC/数据资产，支持告警处置（确认 / 清除 / 归档）、告警流 SSE。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安全事件中心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incident_engine 按时间、资产、IOC、攻击链聚合 Finding 为 Incident。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检测中心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全部检测结果（DetectionResult），含引擎、规则、严重级、置信度、证据、建议、风险评分。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风险分析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风险评分、等级、趋势分析。</w:t>
            </w:r>
          </w:p>
        </w:tc>
      </w:tr>
    </w:tbl>
    <w:p/>
    <w:p>
      <w:r>
        <w:rPr>
          <w:rFonts w:ascii="Times New Roman" w:hAnsi="Times New Roman" w:eastAsia="宋体"/>
          <w:b/>
          <w:sz w:val="26"/>
        </w:rPr>
        <w:t>5.7 威胁情报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IOC 情报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IOC 列表与关联（资产 / 检测 / 事件）。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CVE 漏洞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CVE 离线清单与关联。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检测规则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Sigma / YARA / Suricata 规则管理（新增 / 编辑 / 启用 / 禁用 / 检索）。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离线资源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规则、IOC、CVE、模型安全导入与版本管理。</w:t>
            </w:r>
          </w:p>
        </w:tc>
      </w:tr>
    </w:tbl>
    <w:p/>
    <w:p>
      <w:r>
        <w:rPr>
          <w:rFonts w:ascii="Times New Roman" w:hAnsi="Times New Roman" w:eastAsia="宋体"/>
          <w:b/>
          <w:sz w:val="26"/>
        </w:rPr>
        <w:t>5.8 安全引擎</w:t>
      </w:r>
    </w:p>
    <w:p>
      <w:r>
        <w:rPr>
          <w:rFonts w:ascii="Times New Roman" w:hAnsi="Times New Roman" w:eastAsia="宋体"/>
        </w:rPr>
        <w:t>平台内置统一插件化检测引擎，并支持接入外部引擎，检测结果统一输出。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引擎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资产引擎 asset_engine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资产识别、端口 / 服务 / banner、弱口令 / 弱认证检测（如 ASSET_DB_WEAK_AUTH_001）。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数据引擎 data_engine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敏感数据（PII / 密钥 / YARA）检测。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协议引擎 protocol_engine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协议分析、异常 User-Agent 等（如 PROTO_HTTP_UA_001）。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流量 / 规则引擎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流量特征、规则匹配（如 NET_SCAN_001、NETWORK_PORT_SCAN）。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风险 / 合规引擎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风险评分、合规审计。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事件关联引擎 incident_engine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按时间 / 资产 / IOC / 攻击链聚合事件。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外部引擎 Zeek / Suricata / Sigma / Wazuh / osquery / OpenSCAP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外部引擎状态与日志解析。</w:t>
            </w:r>
          </w:p>
        </w:tc>
      </w:tr>
    </w:tbl>
    <w:p/>
    <w:p>
      <w:r>
        <w:rPr>
          <w:rFonts w:ascii="Times New Roman" w:hAnsi="Times New Roman" w:eastAsia="宋体"/>
          <w:b/>
          <w:sz w:val="26"/>
        </w:rPr>
        <w:t>5.9 算法评估</w:t>
      </w:r>
    </w:p>
    <w:p>
      <w:r>
        <w:rPr>
          <w:rFonts w:ascii="Times New Roman" w:hAnsi="Times New Roman" w:eastAsia="宋体"/>
        </w:rPr>
        <w:t>【工具→算法评估】提供商用密码应用安全性评估（GB/T 39786）与代码算法时间复杂度分析（前端自包含工具），支持在线评估与结果导出。</w:t>
      </w:r>
    </w:p>
    <w:p>
      <w:r>
        <w:rPr>
          <w:rFonts w:ascii="Times New Roman" w:hAnsi="Times New Roman" w:eastAsia="宋体"/>
          <w:b/>
          <w:sz w:val="26"/>
        </w:rPr>
        <w:t>5.10 报表管理</w:t>
      </w:r>
    </w:p>
    <w:p>
      <w:r>
        <w:rPr>
          <w:rFonts w:ascii="Times New Roman" w:hAnsi="Times New Roman" w:eastAsia="宋体"/>
        </w:rPr>
        <w:t>【运维管理→报告中心】可按检测 / 事件 / 风险范围生成 HTML / PDF / CSV 报告并下载；也可通过 `POST /api/v1/reports/generate` 与 `GET /api/v1/reports/{id}/download` 用 API 生成。</w:t>
      </w:r>
    </w:p>
    <w:p>
      <w:r>
        <w:rPr>
          <w:rFonts w:ascii="Times New Roman" w:hAnsi="Times New Roman" w:eastAsia="宋体"/>
          <w:b/>
          <w:sz w:val="26"/>
        </w:rPr>
        <w:t>5.11 系统管理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探针管理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探针注册 / 在线状态 / 指标 / 心跳，支持资产分析。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任务中心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异步任务列表、任务详情、队列状态。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健康状态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系统健康、各引擎规则数、存储用量、队列状态、探针概况。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离线资源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离线规则 / IOC / CVE / 模型导入与版本管理。</w:t>
            </w:r>
          </w:p>
        </w:tc>
      </w:tr>
    </w:tbl>
    <w:p/>
    <w:p>
      <w:r>
        <w:rPr>
          <w:rFonts w:ascii="Times New Roman" w:hAnsi="Times New Roman" w:eastAsia="宋体"/>
          <w:b/>
          <w:sz w:val="30"/>
        </w:rPr>
        <w:t>6 运维管理</w:t>
      </w:r>
    </w:p>
    <w:p>
      <w:r>
        <w:rPr>
          <w:rFonts w:ascii="Times New Roman" w:hAnsi="Times New Roman" w:eastAsia="宋体"/>
        </w:rPr>
        <w:t>本章主要讲解平台的日常运维管理，为管理员例行维护以及简单故障排除提供指导。</w:t>
      </w:r>
    </w:p>
    <w:p>
      <w:r>
        <w:rPr>
          <w:rFonts w:ascii="Times New Roman" w:hAnsi="Times New Roman" w:eastAsia="宋体"/>
          <w:b/>
          <w:sz w:val="26"/>
        </w:rPr>
        <w:t>6.1 日常运维注意事项及高危操作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风险操作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风险级别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风险说明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风险应对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恢复出厂设置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高风险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删除平台所有数据与配置，对有数据合规要求（等保保留 180 天日志）的客户影响极大。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谨慎操作，操作前务必备份。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修改后端关键配置 / 重启容器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高风险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可能导致服务暂不可用。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在业务低峰期操作并提前备份。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关闭唯一启用网口 / 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高风险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可能导致设备无法登录。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联系运维 / 售后工程师处理。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高流量下触发背压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中风险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接口返回 429，影响采集。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按目标流量调整 QUEUE_PENDING_MAX 等参数。</w:t>
            </w:r>
          </w:p>
        </w:tc>
      </w:tr>
    </w:tbl>
    <w:p/>
    <w:p>
      <w:r>
        <w:rPr>
          <w:rFonts w:ascii="Times New Roman" w:hAnsi="Times New Roman" w:eastAsia="宋体"/>
          <w:b/>
          <w:sz w:val="26"/>
        </w:rPr>
        <w:t>6.2 数据备份</w:t>
      </w:r>
    </w:p>
    <w:p>
      <w:r>
        <w:rPr>
          <w:rFonts w:ascii="Times New Roman" w:hAnsi="Times New Roman" w:eastAsia="宋体"/>
        </w:rPr>
        <w:t>平台数据存储于 Docker 卷（`postgres_data`、`redis_data`、`backend_data`），可通过 Docker 卷备份与数据库导出进行备份，建议定期备份以保障数据合规与可恢复。</w:t>
      </w:r>
    </w:p>
    <w:p>
      <w:r>
        <w:rPr>
          <w:rFonts w:ascii="Times New Roman" w:hAnsi="Times New Roman" w:eastAsia="宋体"/>
          <w:b/>
          <w:sz w:val="30"/>
        </w:rPr>
        <w:t>7 升级管理</w:t>
      </w:r>
    </w:p>
    <w:p>
      <w:r>
        <w:rPr>
          <w:rFonts w:ascii="Times New Roman" w:hAnsi="Times New Roman" w:eastAsia="宋体"/>
          <w:b/>
          <w:sz w:val="26"/>
        </w:rPr>
        <w:t>7.1 规则 / IOC / CVE / 模型升级</w:t>
      </w:r>
    </w:p>
    <w:p>
      <w:r>
        <w:rPr>
          <w:rFonts w:ascii="Times New Roman" w:hAnsi="Times New Roman" w:eastAsia="宋体"/>
        </w:rPr>
        <w:t>通过【系统→离线资源】或 `POST /api/v1/integrations/offline/upload`、`POST /api/v1/integrations/offline/import` 安全导入离线规则、IOC、CVE 与模型包，支持版本管理，不使用任意路径。</w:t>
      </w:r>
    </w:p>
    <w:p>
      <w:r>
        <w:rPr>
          <w:rFonts w:ascii="Times New Roman" w:hAnsi="Times New Roman" w:eastAsia="宋体"/>
          <w:b/>
          <w:sz w:val="26"/>
        </w:rPr>
        <w:t>7.2 系统升级</w:t>
      </w:r>
    </w:p>
    <w:p>
      <w:r>
        <w:rPr>
          <w:rFonts w:ascii="Times New Roman" w:hAnsi="Times New Roman" w:eastAsia="宋体"/>
        </w:rPr>
        <w:t>系统升级通过重新构建镜像并滚动更新容器完成：`docker compose build` 后 `docker compose up -d`。升级前请备份数据，并确认数据库迁移（`alembic upgrade head`）正常执行。</w:t>
      </w:r>
    </w:p>
    <w:p>
      <w:r>
        <w:rPr>
          <w:rFonts w:ascii="Times New Roman" w:hAnsi="Times New Roman" w:eastAsia="宋体"/>
          <w:b/>
          <w:sz w:val="30"/>
        </w:rPr>
        <w:t>附录 A  关键 API 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分类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认证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POST /auth/login、GET /auth/me、POST /auth/logout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探针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POST /probes/register、POST /probes/{id}/heartbeat、GET /probes、GET /probes/{id}/metrics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上传 / 分析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POST /pcaps/upload、POST /files/upload、POST /pcaps/{id}/analyze、POST /files/{id}/analyze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PCAP 深入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GET /pcaps/{id}/packets/{pid}、/streams/{sid}、/flows、/protocols、/dns、/http、/tls、/files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全局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GET /flows、/protocols、/network/live、/detections、/alerts、/incidents、/sensitive/findings、/rules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仪表盘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GET /dashboard/summary、/risk-trend、/incident-trend、/severity、/engines、/sensitive-data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报告 / 集成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POST /reports/generate、GET /reports、GET /reports/{id}/download、POST /integrations/offline/upload</w:t>
            </w:r>
          </w:p>
        </w:tc>
      </w:tr>
    </w:tbl>
    <w:p/>
    <w:p>
      <w:r>
        <w:rPr>
          <w:rFonts w:ascii="Times New Roman" w:hAnsi="Times New Roman" w:eastAsia="宋体"/>
        </w:rPr>
        <w:t>注：所有列表接口统一分页 `{ items, page, page_size, total }`。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