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9BBCA">
      <w:pPr>
        <w:rPr>
          <w:rFonts w:hint="eastAsia"/>
        </w:rPr>
      </w:pPr>
    </w:p>
    <w:p w14:paraId="621B6BDF">
      <w:pPr>
        <w:jc w:val="center"/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题目</w:t>
      </w:r>
    </w:p>
    <w:p w14:paraId="3CCE4388">
      <w:pPr>
        <w:rPr>
          <w:rFonts w:hint="eastAsia"/>
          <w:b/>
          <w:bCs/>
          <w:i w:val="0"/>
          <w:iCs w:val="0"/>
          <w:sz w:val="24"/>
          <w:szCs w:val="24"/>
        </w:rPr>
      </w:pPr>
      <w:r>
        <w:rPr>
          <w:rFonts w:hint="eastAsia"/>
          <w:b/>
          <w:bCs/>
          <w:i w:val="0"/>
          <w:iCs w:val="0"/>
          <w:sz w:val="24"/>
          <w:szCs w:val="24"/>
        </w:rPr>
        <w:t>“</w:t>
      </w:r>
      <w:r>
        <w:rPr>
          <w:rFonts w:hint="eastAsia"/>
          <w:b/>
          <w:bCs/>
          <w:i w:val="0"/>
          <w:iCs w:val="0"/>
          <w:sz w:val="24"/>
          <w:szCs w:val="24"/>
          <w:lang w:val="en-US" w:eastAsia="zh-CN"/>
        </w:rPr>
        <w:t>科技财政支出</w:t>
      </w:r>
      <w:r>
        <w:rPr>
          <w:rFonts w:hint="eastAsia"/>
          <w:b/>
          <w:bCs/>
          <w:i w:val="0"/>
          <w:iCs w:val="0"/>
          <w:sz w:val="24"/>
          <w:szCs w:val="24"/>
        </w:rPr>
        <w:t>对企业创新的激励效应——基于</w:t>
      </w:r>
      <w:r>
        <w:rPr>
          <w:rFonts w:hint="eastAsia"/>
          <w:b/>
          <w:bCs/>
          <w:i w:val="0"/>
          <w:iCs w:val="0"/>
          <w:sz w:val="24"/>
          <w:szCs w:val="24"/>
          <w:lang w:val="en-US" w:eastAsia="zh-CN"/>
        </w:rPr>
        <w:t>税收激励视角的</w:t>
      </w:r>
      <w:r>
        <w:rPr>
          <w:rFonts w:hint="eastAsia"/>
          <w:b/>
          <w:bCs/>
          <w:i w:val="0"/>
          <w:iCs w:val="0"/>
          <w:sz w:val="24"/>
          <w:szCs w:val="24"/>
        </w:rPr>
        <w:t>实证分析”</w:t>
      </w:r>
    </w:p>
    <w:p w14:paraId="27299551">
      <w:pPr>
        <w:rPr>
          <w:rFonts w:hint="eastAsia"/>
        </w:rPr>
      </w:pPr>
    </w:p>
    <w:p w14:paraId="7C0ACDF4">
      <w:pPr>
        <w:rPr>
          <w:rFonts w:hint="eastAsia"/>
        </w:rPr>
      </w:pPr>
      <w:r>
        <w:rPr>
          <w:rFonts w:hint="eastAsia"/>
          <w:b/>
          <w:bCs/>
        </w:rPr>
        <w:t>第一部分：</w:t>
      </w:r>
      <w:r>
        <w:rPr>
          <w:rFonts w:hint="eastAsia"/>
          <w:b/>
          <w:bCs/>
          <w:lang w:val="en-US" w:eastAsia="zh-CN"/>
        </w:rPr>
        <w:t>宏观</w:t>
      </w:r>
      <w:r>
        <w:rPr>
          <w:rFonts w:hint="eastAsia"/>
          <w:b/>
          <w:bCs/>
        </w:rPr>
        <w:t>政策背景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全国与区域）</w:t>
      </w:r>
      <w:r>
        <w:rPr>
          <w:rFonts w:hint="eastAsia"/>
          <w:b/>
          <w:bCs/>
        </w:rPr>
        <w:t>（2-3页PPT，约3分钟）</w:t>
      </w:r>
    </w:p>
    <w:p w14:paraId="7ABE4B36">
      <w:pPr>
        <w:numPr>
          <w:numId w:val="0"/>
        </w:numPr>
        <w:jc w:val="both"/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自主创新的国家战略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科技支出规模占比越来越高（找一点政策话术）</w:t>
      </w:r>
    </w:p>
    <w:p w14:paraId="68027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二、描述性统计：</w:t>
      </w:r>
    </w:p>
    <w:p w14:paraId="4865814E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.1 全国宏观趋势</w:t>
      </w:r>
    </w:p>
    <w:p w14:paraId="24B656F8">
      <w:pPr>
        <w:rPr>
          <w:rFonts w:hint="eastAsia"/>
        </w:rPr>
      </w:pPr>
      <w:r>
        <w:rPr>
          <w:rFonts w:hint="eastAsia"/>
        </w:rPr>
        <w:t>· 图1：全国R&amp;D经费总量及投入强度双轴图</w:t>
      </w:r>
    </w:p>
    <w:p w14:paraId="5C2BE09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· 图2：基础研究、应用研究、试验发展占比堆叠面积图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支出结构）</w:t>
      </w:r>
    </w:p>
    <w:p w14:paraId="622FB8CE">
      <w:pPr>
        <w:rPr>
          <w:rFonts w:hint="eastAsia"/>
        </w:rPr>
      </w:pPr>
      <w:r>
        <w:rPr>
          <w:rFonts w:hint="eastAsia"/>
        </w:rPr>
        <w:t>· 图3：财政科技拨款占公共财政支出比重变化</w:t>
      </w:r>
    </w:p>
    <w:p w14:paraId="17C6DCD2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.2 区域对比</w:t>
      </w:r>
    </w:p>
    <w:p w14:paraId="13A7845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·</w:t>
      </w:r>
      <w:r>
        <w:rPr>
          <w:rFonts w:hint="eastAsia"/>
          <w:lang w:val="en-US" w:eastAsia="zh-CN"/>
        </w:rPr>
        <w:t xml:space="preserve"> 图4各省rd经费占比热力图/专利热力图</w:t>
      </w:r>
    </w:p>
    <w:p w14:paraId="1F6B204C">
      <w:pPr>
        <w:rPr>
          <w:rFonts w:hint="eastAsia"/>
          <w:lang w:val="en-US" w:eastAsia="zh-CN"/>
        </w:rPr>
      </w:pPr>
      <w:r>
        <w:rPr>
          <w:rFonts w:hint="eastAsia"/>
        </w:rPr>
        <w:t>· 图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各省</w:t>
      </w:r>
      <w:r>
        <w:rPr>
          <w:rFonts w:hint="eastAsia"/>
        </w:rPr>
        <w:t>R&amp;D经费占比 vs 专利授权</w:t>
      </w:r>
      <w:r>
        <w:rPr>
          <w:rFonts w:hint="eastAsia"/>
          <w:lang w:val="en-US" w:eastAsia="zh-CN"/>
        </w:rPr>
        <w:t>散点图</w:t>
      </w:r>
    </w:p>
    <w:p w14:paraId="378F75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或者分年份划分面散点图（能否体现某些政策节点的作用，例如随着年份推移，散点整体向右上移动）</w:t>
      </w:r>
    </w:p>
    <w:p w14:paraId="1DC5B5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 企业概览</w:t>
      </w:r>
    </w:p>
    <w:p w14:paraId="6136F093">
      <w:pPr>
        <w:rPr>
          <w:rFonts w:hint="default"/>
          <w:lang w:val="en-US" w:eastAsia="zh-CN"/>
        </w:rPr>
      </w:pPr>
      <w:r>
        <w:rPr>
          <w:rFonts w:hint="eastAsia"/>
        </w:rPr>
        <w:t xml:space="preserve">· </w:t>
      </w:r>
      <w:r>
        <w:rPr>
          <w:rFonts w:hint="eastAsia"/>
          <w:lang w:val="en-US" w:eastAsia="zh-CN"/>
        </w:rPr>
        <w:t>图6 规模以上工业企业参与RD数量占比折线图</w:t>
      </w:r>
    </w:p>
    <w:p w14:paraId="460BF105">
      <w:pPr>
        <w:numPr>
          <w:numId w:val="0"/>
        </w:numPr>
        <w:rPr>
          <w:rFonts w:hint="eastAsia"/>
          <w:b/>
          <w:bCs/>
          <w:lang w:val="en-US" w:eastAsia="zh-CN"/>
        </w:rPr>
      </w:pPr>
    </w:p>
    <w:p w14:paraId="0426686E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第二部分：实证研究</w:t>
      </w:r>
    </w:p>
    <w:p w14:paraId="79FA3EE8">
      <w:pPr>
        <w:numPr>
          <w:numId w:val="0"/>
        </w:numPr>
        <w:rPr>
          <w:rFonts w:hint="eastAsia"/>
          <w:b/>
          <w:bCs/>
          <w:lang w:val="en-US" w:eastAsia="zh-CN"/>
        </w:rPr>
      </w:pPr>
    </w:p>
    <w:p w14:paraId="3058680C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一、介绍</w:t>
      </w:r>
      <w:r>
        <w:rPr>
          <w:rFonts w:hint="eastAsia"/>
        </w:rPr>
        <w:t>研发</w:t>
      </w:r>
      <w:r>
        <w:rPr>
          <w:rFonts w:hint="eastAsia"/>
          <w:lang w:val="en-US" w:eastAsia="zh-CN"/>
        </w:rPr>
        <w:t>费用</w:t>
      </w:r>
      <w:r>
        <w:rPr>
          <w:rFonts w:hint="eastAsia"/>
        </w:rPr>
        <w:t>加计扣除政策（）：</w:t>
      </w:r>
      <w:r>
        <w:rPr>
          <w:rFonts w:hint="eastAsia"/>
          <w:lang w:val="en-US" w:eastAsia="zh-CN"/>
        </w:rPr>
        <w:t>背景、机制、作用讲清楚（见文献补充资料）</w:t>
      </w:r>
    </w:p>
    <w:p w14:paraId="58B18B68">
      <w:pPr>
        <w:rPr>
          <w:rFonts w:hint="eastAsia"/>
        </w:rPr>
      </w:pPr>
      <w:r>
        <w:rPr>
          <w:rFonts w:hint="eastAsia"/>
        </w:rPr>
        <w:t xml:space="preserve">   · 政策演变时间线：75%→制造业100%（2021）→全行业100%（2023）</w:t>
      </w:r>
    </w:p>
    <w:p w14:paraId="035A6BC1">
      <w:pPr>
        <w:jc w:val="center"/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1129030</wp:posOffset>
                </wp:positionH>
                <wp:positionV relativeFrom="paragraph">
                  <wp:posOffset>1348105</wp:posOffset>
                </wp:positionV>
                <wp:extent cx="2461260" cy="187325"/>
                <wp:effectExtent l="6350" t="6350" r="8890" b="952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72030" y="7017385"/>
                          <a:ext cx="2461260" cy="187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8.9pt;margin-top:106.15pt;height:14.75pt;width:193.8pt;z-index:251659264;v-text-anchor:middle;mso-width-relative:page;mso-height-relative:page;" filled="f" stroked="t" coordsize="21600,21600" o:gfxdata="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JhL0QXXAAAACwEAAA8AAAAAAAAAAQAgAAAAIgAAAGRycy9kb3ducmV2LnhtbFBLAQIUABQAAAAI&#10;AIdO4kB7wQhB0gIAAL8FAAAOAAAAAAAAAAEAIAAAACYBAABkcnMvZTJvRG9jLnhtbFBLBQYAAAAA&#10;BgAGAFkBAABq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02940" cy="2000885"/>
            <wp:effectExtent l="0" t="0" r="10160" b="5715"/>
            <wp:docPr id="1" name="图片 1" descr="3a2fce2bac5e3e05ca727f3b39841b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a2fce2bac5e3e05ca727f3b39841bbe"/>
                    <pic:cNvPicPr>
                      <a:picLocks noChangeAspect="1"/>
                    </pic:cNvPicPr>
                  </pic:nvPicPr>
                  <pic:blipFill>
                    <a:blip r:embed="rId4"/>
                    <a:srcRect l="5418" t="39850" r="2866" b="17193"/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20745" cy="2025015"/>
            <wp:effectExtent l="0" t="0" r="825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074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311CE">
      <w:pPr>
        <w:rPr>
          <w:rFonts w:hint="eastAsia"/>
        </w:rPr>
      </w:pPr>
    </w:p>
    <w:p w14:paraId="76C761DD">
      <w:pPr>
        <w:jc w:val="center"/>
        <w:rPr>
          <w:rFonts w:hint="eastAsia"/>
        </w:rPr>
      </w:pPr>
      <w:r>
        <w:rPr>
          <w:rFonts w:hint="eastAsia"/>
        </w:rPr>
        <w:t>图表：政策时间轴（2008-2024）+ 关键节点标注</w:t>
      </w:r>
    </w:p>
    <w:p w14:paraId="0D97987C">
      <w:pPr>
        <w:jc w:val="center"/>
        <w:rPr>
          <w:rFonts w:hint="eastAsia"/>
        </w:rPr>
      </w:pPr>
    </w:p>
    <w:p w14:paraId="222ECCC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实证分析——政策效果检验（核心，4-5页PPT，约6分钟）</w:t>
      </w:r>
    </w:p>
    <w:p w14:paraId="62CD2BA0">
      <w:pPr>
        <w:numPr>
          <w:numId w:val="0"/>
        </w:numPr>
        <w:rPr>
          <w:rFonts w:hint="eastAsia"/>
        </w:rPr>
      </w:pPr>
    </w:p>
    <w:p w14:paraId="2644DC2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数据说明：来源国泰安、国家统计局。已经去除空缺值和ST类企业。</w:t>
      </w:r>
    </w:p>
    <w:p w14:paraId="6F82C4E9">
      <w:pPr>
        <w:jc w:val="center"/>
        <w:rPr>
          <w:rFonts w:hint="eastAsia"/>
          <w:lang w:val="en-US" w:eastAsia="zh-CN"/>
        </w:rPr>
      </w:pPr>
    </w:p>
    <w:p w14:paraId="37334D6B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数据与变量说明</w:t>
      </w:r>
    </w:p>
    <w:p w14:paraId="75C153FD">
      <w:pPr>
        <w:rPr>
          <w:rFonts w:hint="eastAsia"/>
        </w:rPr>
      </w:pPr>
      <w:r>
        <w:rPr>
          <w:rFonts w:hint="eastAsia"/>
        </w:rPr>
        <w:t>· 样本：</w:t>
      </w:r>
      <w:r>
        <w:rPr>
          <w:rFonts w:hint="eastAsia"/>
          <w:lang w:val="en-US" w:eastAsia="zh-CN"/>
        </w:rPr>
        <w:t>A股</w:t>
      </w:r>
      <w:r>
        <w:rPr>
          <w:rFonts w:hint="eastAsia"/>
        </w:rPr>
        <w:t>上市公司面板数据</w:t>
      </w:r>
    </w:p>
    <w:p w14:paraId="3423492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· </w:t>
      </w:r>
      <w:r>
        <w:rPr>
          <w:rFonts w:hint="eastAsia"/>
          <w:lang w:val="en-US" w:eastAsia="zh-CN"/>
        </w:rPr>
        <w:t>可用于实证的</w:t>
      </w:r>
      <w:r>
        <w:rPr>
          <w:rFonts w:hint="eastAsia"/>
        </w:rPr>
        <w:t>变量</w:t>
      </w:r>
      <w:r>
        <w:rPr>
          <w:rFonts w:hint="eastAsia"/>
          <w:lang w:val="en-US" w:eastAsia="zh-CN"/>
        </w:rPr>
        <w:t>and控制变量（我用国泰安跨表导出删除空缺值后观测值为4000多，稍微有点少，可以自己合并验证下，单独各项变量数据我也放在excel了），地区代码跨表查询不了，需自己合并。（研发加计扣除要变成正数）</w:t>
      </w:r>
    </w:p>
    <w:p w14:paraId="7336701D">
      <w:r>
        <w:drawing>
          <wp:inline distT="0" distB="0" distL="114300" distR="114300">
            <wp:extent cx="5264785" cy="140970"/>
            <wp:effectExtent l="0" t="0" r="5715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25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数据处理：数据较大的对数化处理，极端值缩尾等看情况吧，毕竟总数不多。</w:t>
      </w:r>
    </w:p>
    <w:p w14:paraId="42575CD5">
      <w:pPr>
        <w:rPr>
          <w:rFonts w:hint="eastAsia"/>
          <w:lang w:val="en-US" w:eastAsia="zh-CN"/>
        </w:rPr>
      </w:pPr>
    </w:p>
    <w:p w14:paraId="4D2A9DA7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描述性统计表格展示</w:t>
      </w:r>
    </w:p>
    <w:p w14:paraId="27FDC9A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5B215A4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实证分析</w:t>
      </w:r>
    </w:p>
    <w:p w14:paraId="7FBE1F0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61842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（1）实证分析方案一（最推荐，跟政策连接紧密）</w:t>
      </w:r>
    </w:p>
    <w:p w14:paraId="7F997D1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被解释变量y</w:t>
      </w:r>
      <w:r>
        <w:rPr>
          <w:rFonts w:hint="eastAsia"/>
          <w:lang w:val="en-US" w:eastAsia="zh-CN"/>
        </w:rPr>
        <w:t>：企业自主创新（专利）；解释变量x：政策（研发加计扣除的纳税免额）</w:t>
      </w:r>
    </w:p>
    <w:p w14:paraId="24FAFF2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公式：取对数/不取对数</w:t>
      </w:r>
    </w:p>
    <w:p w14:paraId="6B427420">
      <w:pPr>
        <w:jc w:val="center"/>
      </w:pPr>
      <w:r>
        <w:drawing>
          <wp:inline distT="0" distB="0" distL="114300" distR="114300">
            <wp:extent cx="2685415" cy="459105"/>
            <wp:effectExtent l="0" t="0" r="6985" b="1079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2EF35">
      <w:pPr>
        <w:jc w:val="center"/>
        <w:rPr>
          <w:rFonts w:hint="eastAsia"/>
        </w:rPr>
      </w:pPr>
      <w:r>
        <w:drawing>
          <wp:inline distT="0" distB="0" distL="114300" distR="114300">
            <wp:extent cx="2637790" cy="561975"/>
            <wp:effectExtent l="0" t="0" r="3810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C29D">
      <w:pPr>
        <w:ind w:firstLine="420" w:firstLineChars="0"/>
        <w:rPr>
          <w:rFonts w:hint="eastAsia"/>
        </w:rPr>
      </w:pPr>
      <w:r>
        <w:rPr>
          <w:rFonts w:hint="eastAsia"/>
        </w:rPr>
        <w:t>固定效应（企业+年份）</w:t>
      </w:r>
    </w:p>
    <w:p w14:paraId="43890B08">
      <w:pPr>
        <w:ind w:firstLine="420" w:firstLineChars="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异质性分析</w:t>
      </w:r>
      <w:r>
        <w:rPr>
          <w:rFonts w:hint="eastAsia"/>
          <w:lang w:val="en-US" w:eastAsia="zh-CN"/>
        </w:rPr>
        <w:t>：①按行业分，制造业VS非制造业（按行业代码分，</w:t>
      </w:r>
      <w:r>
        <w:rPr>
          <w:rFonts w:hint="eastAsia"/>
        </w:rPr>
        <w:t>行业代码是否为C）</w:t>
      </w:r>
      <w:r>
        <w:rPr>
          <w:rFonts w:hint="eastAsia"/>
          <w:lang w:val="en-US" w:eastAsia="zh-CN"/>
        </w:rPr>
        <w:t>政策时间节点2021年。</w:t>
      </w:r>
      <w:r>
        <w:rPr>
          <w:rFonts w:hint="eastAsia"/>
        </w:rPr>
        <w:t>预期：2021-2022年，制造业组的系数大于非制造业组（因为制造业享受100%加计扣除，其他行业75%）</w:t>
      </w:r>
    </w:p>
    <w:p w14:paraId="57EF6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②按地区分，知识产权保护程度指数，</w:t>
      </w:r>
      <w:r>
        <w:rPr>
          <w:rFonts w:hint="eastAsia"/>
        </w:rPr>
        <w:t>高知识产权保护 vs 低知识产权保护地区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体现创新制度环境（ppt3.4提到）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放</w:t>
      </w:r>
      <w:r>
        <w:rPr>
          <w:rFonts w:hint="eastAsia"/>
        </w:rPr>
        <w:t>图5：各省知识产权保护指数热力图（2022年）</w:t>
      </w:r>
      <w:r>
        <w:rPr>
          <w:rFonts w:hint="eastAsia"/>
          <w:lang w:val="en-US" w:eastAsia="zh-CN"/>
        </w:rPr>
        <w:t>or</w:t>
      </w:r>
    </w:p>
    <w:p w14:paraId="1E3DA8EE">
      <w:pPr>
        <w:jc w:val="center"/>
      </w:pPr>
      <w:r>
        <w:drawing>
          <wp:inline distT="0" distB="0" distL="114300" distR="114300">
            <wp:extent cx="3747770" cy="3670300"/>
            <wp:effectExtent l="0" t="0" r="1143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777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4EF0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（来自国家知识产权局2022年发布的中国知识产权发展状况评价报告）</w:t>
      </w:r>
    </w:p>
    <w:p w14:paraId="1316BEFD">
      <w:pPr>
        <w:rPr>
          <w:rFonts w:hint="default" w:eastAsiaTheme="minorEastAsia"/>
          <w:lang w:val="en-US" w:eastAsia="zh-CN"/>
        </w:rPr>
      </w:pPr>
    </w:p>
    <w:p w14:paraId="2285BEA7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稳健性检验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简单做）：</w:t>
      </w:r>
      <w:r>
        <w:rPr>
          <w:rFonts w:hint="eastAsia"/>
        </w:rPr>
        <w:t>滞后一期核心解释变量</w:t>
      </w:r>
    </w:p>
    <w:p w14:paraId="4ED49BDF">
      <w:pPr>
        <w:rPr>
          <w:rFonts w:hint="eastAsia"/>
          <w:lang w:val="en-US" w:eastAsia="zh-CN"/>
        </w:rPr>
      </w:pPr>
    </w:p>
    <w:p w14:paraId="5A02B4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如果方案一怎么调都不显著，实证研究方案二：</w:t>
      </w:r>
    </w:p>
    <w:p w14:paraId="620EF58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被解释变量y：</w:t>
      </w:r>
      <w:r>
        <w:rPr>
          <w:rFonts w:hint="eastAsia"/>
          <w:lang w:val="en-US" w:eastAsia="zh-CN"/>
        </w:rPr>
        <w:t>企业自主创新（专利）；解释变量x：政策（研发相关财政补贴）</w:t>
      </w:r>
    </w:p>
    <w:p w14:paraId="28EC8C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找财政补贴相关的政策说明，与税收激励角度不同。</w:t>
      </w:r>
    </w:p>
    <w:p w14:paraId="5C6851BC">
      <w:pPr>
        <w:rPr>
          <w:rFonts w:hint="eastAsia"/>
          <w:lang w:val="en-US" w:eastAsia="zh-CN"/>
        </w:rPr>
      </w:pPr>
    </w:p>
    <w:p w14:paraId="7818C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实证研究方案三</w:t>
      </w:r>
    </w:p>
    <w:p w14:paraId="6B3C471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被解释变量y</w:t>
      </w:r>
      <w:r>
        <w:rPr>
          <w:rFonts w:hint="eastAsia"/>
          <w:lang w:val="en-US" w:eastAsia="zh-CN"/>
        </w:rPr>
        <w:t>：企业自主创新（专利）；解释变量x：研发投入强度</w:t>
      </w:r>
    </w:p>
    <w:p w14:paraId="70BC125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分析研发投入强度与企业自主创新的相关性，用异质性检验部分与政策连接（政策时间点、地区等）</w:t>
      </w:r>
    </w:p>
    <w:p w14:paraId="19273F9C">
      <w:pPr>
        <w:rPr>
          <w:rFonts w:hint="eastAsia"/>
        </w:rPr>
      </w:pPr>
    </w:p>
    <w:p w14:paraId="49E27249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结论与政策建议（1页PPT，约1分钟）</w:t>
      </w:r>
    </w:p>
    <w:p w14:paraId="2E471CEC">
      <w:pPr>
        <w:rPr>
          <w:rFonts w:hint="eastAsia"/>
          <w:lang w:val="en-US" w:eastAsia="zh-CN"/>
        </w:rPr>
      </w:pPr>
    </w:p>
    <w:p w14:paraId="7ADE4001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注意：合并好的数据是全变量（三个方案涉及到的变量）都无空缺的行才留下，建议可以自己合并下选定实证方案的数据，观测可能会多点。</w:t>
      </w:r>
    </w:p>
    <w:p w14:paraId="6BF00B67"/>
    <w:p w14:paraId="0543CCB6"/>
    <w:p w14:paraId="418B6538"/>
    <w:p w14:paraId="2A90F12D">
      <w:r>
        <w:drawing>
          <wp:inline distT="0" distB="0" distL="114300" distR="114300">
            <wp:extent cx="5265420" cy="2183130"/>
            <wp:effectExtent l="0" t="0" r="5080" b="127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4AA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如图为我能搜索到的全部数据，综合考量下得出此选题框架，如需修改选题，可参考上述数据。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D66EBC"/>
    <w:multiLevelType w:val="singleLevel"/>
    <w:tmpl w:val="91D66EB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260213D"/>
    <w:multiLevelType w:val="singleLevel"/>
    <w:tmpl w:val="6260213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0F004B"/>
    <w:rsid w:val="690F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2026-05-15T17:43:00Z</dcterms:created>
  <dc:creator>xin</dc:creator>
  <cp:lastModifiedBy>xin</cp:lastModifiedBy>
  <dcterms:modified xsi:type="dcterms:W3CDTF">2026-05-15T19:18:12Z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F2DBD4A59DB3460A94565B25F75C0842_11</vt:lpwstr>
  </property>
  <property fmtid="{D5CDD505-2E9C-101B-9397-08002B2CF9AE}" pid="4" name="KSOTemplateDocerSaveRecord">
    <vt:lpwstr>eyJoZGlkIjoiNmI1YzFhY2MyOTBmMGQyMjQ5Y2YyM2IzN2NkZDdkYmEiLCJ1c2VySWQiOiI2Mjc0Nzg5NjcifQ==</vt:lpwstr>
  </property>
</Properties>
</file>