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853B" w14:textId="77777777" w:rsidR="00B6557A" w:rsidRPr="00FF3FB3" w:rsidRDefault="00B6557A" w:rsidP="00B6557A">
      <w:pPr>
        <w:rPr>
          <w:rFonts w:asciiTheme="majorHAnsi" w:hAnsiTheme="majorHAnsi" w:cs="Times New Roman"/>
          <w:sz w:val="40"/>
          <w:szCs w:val="40"/>
        </w:rPr>
      </w:pPr>
      <w:r w:rsidRPr="00FF3FB3">
        <w:rPr>
          <w:rFonts w:asciiTheme="majorHAnsi" w:hAnsiTheme="majorHAnsi" w:cs="Times New Roman"/>
          <w:sz w:val="40"/>
          <w:szCs w:val="40"/>
        </w:rPr>
        <w:t xml:space="preserve">Digital </w:t>
      </w:r>
      <w:proofErr w:type="spellStart"/>
      <w:r w:rsidRPr="00FF3FB3">
        <w:rPr>
          <w:rFonts w:asciiTheme="majorHAnsi" w:hAnsiTheme="majorHAnsi" w:cs="Times New Roman"/>
          <w:sz w:val="40"/>
          <w:szCs w:val="40"/>
        </w:rPr>
        <w:t>Biosignal</w:t>
      </w:r>
      <w:proofErr w:type="spellEnd"/>
      <w:r w:rsidRPr="00FF3FB3">
        <w:rPr>
          <w:rFonts w:asciiTheme="majorHAnsi" w:hAnsiTheme="majorHAnsi" w:cs="Times New Roman"/>
          <w:sz w:val="40"/>
          <w:szCs w:val="40"/>
        </w:rPr>
        <w:t xml:space="preserve"> Processing</w:t>
      </w:r>
    </w:p>
    <w:p w14:paraId="08F015FC" w14:textId="267798FB" w:rsidR="00B6557A" w:rsidRPr="00FF3FB3" w:rsidRDefault="00B6557A" w:rsidP="00B6557A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40"/>
          <w:szCs w:val="40"/>
        </w:rPr>
        <w:t>MATLAB Laboratory 3</w:t>
      </w:r>
    </w:p>
    <w:p w14:paraId="321CE2DB" w14:textId="2691728E" w:rsidR="002708BC" w:rsidRPr="002708BC" w:rsidRDefault="007C1989" w:rsidP="004048B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An </w:t>
      </w:r>
      <w:r w:rsidR="00335E42" w:rsidRPr="00335E42">
        <w:rPr>
          <w:rFonts w:asciiTheme="majorHAnsi" w:hAnsiTheme="majorHAnsi"/>
          <w:lang w:val="en-US"/>
        </w:rPr>
        <w:t xml:space="preserve">Electroencephalography (EEG) </w:t>
      </w:r>
      <w:r w:rsidR="004048BD">
        <w:rPr>
          <w:rFonts w:asciiTheme="majorHAnsi" w:hAnsiTheme="majorHAnsi"/>
          <w:lang w:val="en-US"/>
        </w:rPr>
        <w:t>signal ha</w:t>
      </w:r>
      <w:r>
        <w:rPr>
          <w:rFonts w:asciiTheme="majorHAnsi" w:hAnsiTheme="majorHAnsi"/>
          <w:lang w:val="en-US"/>
        </w:rPr>
        <w:t>s</w:t>
      </w:r>
      <w:r w:rsidR="004048BD">
        <w:rPr>
          <w:rFonts w:asciiTheme="majorHAnsi" w:hAnsiTheme="majorHAnsi"/>
          <w:lang w:val="en-US"/>
        </w:rPr>
        <w:t xml:space="preserve"> been recorded from the scalp of a healthy individual during rest at the sampling frequency of 512 Hz for 15 s. The electrode location of the recording in the </w:t>
      </w:r>
      <w:r>
        <w:rPr>
          <w:rFonts w:asciiTheme="majorHAnsi" w:hAnsiTheme="majorHAnsi"/>
          <w:lang w:val="en-US"/>
        </w:rPr>
        <w:t xml:space="preserve">standard </w:t>
      </w:r>
      <w:r w:rsidR="004048BD">
        <w:rPr>
          <w:rFonts w:asciiTheme="majorHAnsi" w:hAnsiTheme="majorHAnsi"/>
          <w:lang w:val="en-US"/>
        </w:rPr>
        <w:t xml:space="preserve">10-20 system was </w:t>
      </w:r>
      <w:proofErr w:type="spellStart"/>
      <w:r w:rsidR="004048BD">
        <w:rPr>
          <w:rFonts w:asciiTheme="majorHAnsi" w:hAnsiTheme="majorHAnsi"/>
          <w:lang w:val="en-US"/>
        </w:rPr>
        <w:t>Cz</w:t>
      </w:r>
      <w:proofErr w:type="spellEnd"/>
      <w:r w:rsidR="004048BD">
        <w:rPr>
          <w:rFonts w:asciiTheme="majorHAnsi" w:hAnsiTheme="majorHAnsi"/>
          <w:lang w:val="en-US"/>
        </w:rPr>
        <w:t xml:space="preserve">. The EEG represents the electrical activity of the </w:t>
      </w:r>
      <w:r w:rsidR="00335E42" w:rsidRPr="00335E42">
        <w:rPr>
          <w:rFonts w:asciiTheme="majorHAnsi" w:hAnsiTheme="majorHAnsi"/>
          <w:lang w:val="en-US"/>
        </w:rPr>
        <w:t xml:space="preserve">brain </w:t>
      </w:r>
      <w:r w:rsidR="004048BD">
        <w:rPr>
          <w:rFonts w:asciiTheme="majorHAnsi" w:hAnsiTheme="majorHAnsi"/>
          <w:lang w:val="en-US"/>
        </w:rPr>
        <w:t xml:space="preserve">and it is commonly analyzed in the frequency domain. Relevant frequency bands are </w:t>
      </w:r>
      <w:r w:rsidR="00335E42" w:rsidRPr="00335E42">
        <w:rPr>
          <w:rFonts w:asciiTheme="majorHAnsi" w:hAnsiTheme="majorHAnsi"/>
          <w:lang w:val="en-US"/>
        </w:rPr>
        <w:t xml:space="preserve">categorized as </w:t>
      </w:r>
      <w:r w:rsidR="004048BD" w:rsidRPr="00277C1B">
        <w:rPr>
          <w:rFonts w:asciiTheme="majorHAnsi" w:hAnsiTheme="majorHAnsi"/>
          <w:lang w:val="en-US"/>
        </w:rPr>
        <w:t>Delta (0.5</w:t>
      </w:r>
      <w:r w:rsidR="00010F6B">
        <w:rPr>
          <w:rFonts w:asciiTheme="majorHAnsi" w:hAnsiTheme="majorHAnsi"/>
          <w:lang w:val="en-US"/>
        </w:rPr>
        <w:t xml:space="preserve"> </w:t>
      </w:r>
      <w:r w:rsidR="00010F6B">
        <w:rPr>
          <w:rFonts w:asciiTheme="majorHAnsi" w:hAnsiTheme="majorHAnsi" w:cstheme="majorHAnsi"/>
          <w:lang w:val="en-US"/>
        </w:rPr>
        <w:t>≤</w:t>
      </w:r>
      <w:r w:rsidR="004048BD" w:rsidRPr="00277C1B">
        <w:rPr>
          <w:rFonts w:asciiTheme="majorHAnsi" w:hAnsiTheme="majorHAnsi"/>
          <w:lang w:val="en-US"/>
        </w:rPr>
        <w:t xml:space="preserve"> </w:t>
      </w:r>
      <w:r w:rsidR="00595312">
        <w:rPr>
          <w:rFonts w:asciiTheme="majorHAnsi" w:hAnsiTheme="majorHAnsi"/>
          <w:lang w:val="en-US"/>
        </w:rPr>
        <w:t>f</w:t>
      </w:r>
      <w:r w:rsidR="00010F6B">
        <w:rPr>
          <w:rFonts w:asciiTheme="majorHAnsi" w:hAnsiTheme="majorHAnsi"/>
          <w:lang w:val="en-US"/>
        </w:rPr>
        <w:t xml:space="preserve"> </w:t>
      </w:r>
      <w:r w:rsidR="00010F6B">
        <w:rPr>
          <w:rFonts w:asciiTheme="majorHAnsi" w:hAnsiTheme="majorHAnsi" w:cstheme="majorHAnsi"/>
          <w:lang w:val="en-US"/>
        </w:rPr>
        <w:t>≤</w:t>
      </w:r>
      <w:r w:rsidR="004048BD" w:rsidRPr="00277C1B">
        <w:rPr>
          <w:rFonts w:asciiTheme="majorHAnsi" w:hAnsiTheme="majorHAnsi"/>
          <w:lang w:val="en-US"/>
        </w:rPr>
        <w:t xml:space="preserve"> </w:t>
      </w:r>
      <w:r w:rsidR="002C1A1E" w:rsidRPr="00277C1B">
        <w:rPr>
          <w:rFonts w:asciiTheme="majorHAnsi" w:hAnsiTheme="majorHAnsi"/>
          <w:lang w:val="en-US"/>
        </w:rPr>
        <w:t>4</w:t>
      </w:r>
      <w:r w:rsidR="004048BD" w:rsidRPr="00277C1B">
        <w:rPr>
          <w:rFonts w:asciiTheme="majorHAnsi" w:hAnsiTheme="majorHAnsi"/>
          <w:lang w:val="en-US"/>
        </w:rPr>
        <w:t xml:space="preserve"> Hz), Theta (</w:t>
      </w:r>
      <w:r w:rsidR="002C1A1E" w:rsidRPr="00277C1B">
        <w:rPr>
          <w:rFonts w:asciiTheme="majorHAnsi" w:hAnsiTheme="majorHAnsi"/>
          <w:lang w:val="en-US"/>
        </w:rPr>
        <w:t>4</w:t>
      </w:r>
      <w:r w:rsidR="004048BD" w:rsidRPr="00277C1B">
        <w:rPr>
          <w:rFonts w:asciiTheme="majorHAnsi" w:hAnsiTheme="majorHAnsi"/>
          <w:lang w:val="en-US"/>
        </w:rPr>
        <w:t xml:space="preserve"> </w:t>
      </w:r>
      <w:r w:rsidR="00595312">
        <w:rPr>
          <w:rFonts w:asciiTheme="majorHAnsi" w:hAnsiTheme="majorHAnsi" w:cstheme="majorHAnsi"/>
          <w:lang w:val="en-US"/>
        </w:rPr>
        <w:t xml:space="preserve">≤ </w:t>
      </w:r>
      <w:r w:rsidR="00595312">
        <w:rPr>
          <w:rFonts w:asciiTheme="majorHAnsi" w:hAnsiTheme="majorHAnsi"/>
          <w:lang w:val="en-US"/>
        </w:rPr>
        <w:t>f</w:t>
      </w:r>
      <w:r w:rsidR="00595312" w:rsidRPr="00277C1B">
        <w:rPr>
          <w:rFonts w:asciiTheme="majorHAnsi" w:hAnsiTheme="majorHAnsi"/>
          <w:lang w:val="en-US"/>
        </w:rPr>
        <w:t xml:space="preserve"> </w:t>
      </w:r>
      <w:r w:rsidR="00595312">
        <w:rPr>
          <w:rFonts w:asciiTheme="majorHAnsi" w:hAnsiTheme="majorHAnsi" w:cstheme="majorHAnsi"/>
          <w:lang w:val="en-US"/>
        </w:rPr>
        <w:t xml:space="preserve">≤ </w:t>
      </w:r>
      <w:r w:rsidR="004048BD" w:rsidRPr="00277C1B">
        <w:rPr>
          <w:rFonts w:asciiTheme="majorHAnsi" w:hAnsiTheme="majorHAnsi"/>
          <w:lang w:val="en-US"/>
        </w:rPr>
        <w:t xml:space="preserve">8 Hz), Alpha (8 </w:t>
      </w:r>
      <w:r w:rsidR="00381D14">
        <w:rPr>
          <w:rFonts w:asciiTheme="majorHAnsi" w:hAnsiTheme="majorHAnsi" w:cstheme="majorHAnsi"/>
          <w:lang w:val="en-US"/>
        </w:rPr>
        <w:t xml:space="preserve">≤ f ≤ </w:t>
      </w:r>
      <w:r w:rsidR="004048BD" w:rsidRPr="00277C1B">
        <w:rPr>
          <w:rFonts w:asciiTheme="majorHAnsi" w:hAnsiTheme="majorHAnsi"/>
          <w:lang w:val="en-US"/>
        </w:rPr>
        <w:t>1</w:t>
      </w:r>
      <w:r w:rsidR="002C1A1E" w:rsidRPr="00277C1B">
        <w:rPr>
          <w:rFonts w:asciiTheme="majorHAnsi" w:hAnsiTheme="majorHAnsi"/>
          <w:lang w:val="en-US"/>
        </w:rPr>
        <w:t>3</w:t>
      </w:r>
      <w:r w:rsidR="004048BD" w:rsidRPr="00277C1B">
        <w:rPr>
          <w:rFonts w:asciiTheme="majorHAnsi" w:hAnsiTheme="majorHAnsi"/>
          <w:lang w:val="en-US"/>
        </w:rPr>
        <w:t xml:space="preserve"> Hz), Beta (1</w:t>
      </w:r>
      <w:r w:rsidR="007C5C07" w:rsidRPr="00277C1B">
        <w:rPr>
          <w:rFonts w:asciiTheme="majorHAnsi" w:hAnsiTheme="majorHAnsi"/>
          <w:lang w:val="en-US"/>
        </w:rPr>
        <w:t>3</w:t>
      </w:r>
      <w:r w:rsidR="004048BD" w:rsidRPr="00277C1B">
        <w:rPr>
          <w:rFonts w:asciiTheme="majorHAnsi" w:hAnsiTheme="majorHAnsi"/>
          <w:lang w:val="en-US"/>
        </w:rPr>
        <w:t xml:space="preserve"> </w:t>
      </w:r>
      <w:r w:rsidR="00381D14">
        <w:rPr>
          <w:rFonts w:asciiTheme="majorHAnsi" w:hAnsiTheme="majorHAnsi" w:cstheme="majorHAnsi"/>
          <w:lang w:val="en-US"/>
        </w:rPr>
        <w:t>≤ f ≤</w:t>
      </w:r>
      <w:r w:rsidR="004048BD" w:rsidRPr="00277C1B">
        <w:rPr>
          <w:rFonts w:asciiTheme="majorHAnsi" w:hAnsiTheme="majorHAnsi"/>
          <w:lang w:val="en-US"/>
        </w:rPr>
        <w:t xml:space="preserve"> 3</w:t>
      </w:r>
      <w:r w:rsidR="002C1A1E" w:rsidRPr="00277C1B">
        <w:rPr>
          <w:rFonts w:asciiTheme="majorHAnsi" w:hAnsiTheme="majorHAnsi"/>
          <w:lang w:val="en-US"/>
        </w:rPr>
        <w:t>0</w:t>
      </w:r>
      <w:r w:rsidR="004048BD" w:rsidRPr="00277C1B">
        <w:rPr>
          <w:rFonts w:asciiTheme="majorHAnsi" w:hAnsiTheme="majorHAnsi"/>
          <w:lang w:val="en-US"/>
        </w:rPr>
        <w:t xml:space="preserve"> Hz), and Gamma (3</w:t>
      </w:r>
      <w:r w:rsidR="002C1A1E" w:rsidRPr="00277C1B">
        <w:rPr>
          <w:rFonts w:asciiTheme="majorHAnsi" w:hAnsiTheme="majorHAnsi"/>
          <w:lang w:val="en-US"/>
        </w:rPr>
        <w:t>0</w:t>
      </w:r>
      <w:r w:rsidR="00442F22">
        <w:rPr>
          <w:rFonts w:asciiTheme="majorHAnsi" w:hAnsiTheme="majorHAnsi" w:cstheme="majorHAnsi"/>
          <w:lang w:val="en-US"/>
        </w:rPr>
        <w:t>≤</w:t>
      </w:r>
      <w:r w:rsidR="004048BD" w:rsidRPr="00277C1B">
        <w:rPr>
          <w:rFonts w:asciiTheme="majorHAnsi" w:hAnsiTheme="majorHAnsi"/>
          <w:lang w:val="en-US"/>
        </w:rPr>
        <w:t xml:space="preserve"> </w:t>
      </w:r>
      <w:r w:rsidR="00442F22">
        <w:rPr>
          <w:rFonts w:asciiTheme="majorHAnsi" w:hAnsiTheme="majorHAnsi"/>
          <w:lang w:val="en-US"/>
        </w:rPr>
        <w:t xml:space="preserve">f </w:t>
      </w:r>
      <w:r w:rsidR="00442F22">
        <w:rPr>
          <w:rFonts w:asciiTheme="majorHAnsi" w:hAnsiTheme="majorHAnsi" w:cstheme="majorHAnsi"/>
          <w:lang w:val="en-US"/>
        </w:rPr>
        <w:t>≤</w:t>
      </w:r>
      <w:r w:rsidR="004048BD" w:rsidRPr="00277C1B">
        <w:rPr>
          <w:rFonts w:asciiTheme="majorHAnsi" w:hAnsiTheme="majorHAnsi"/>
          <w:lang w:val="en-US"/>
        </w:rPr>
        <w:t xml:space="preserve"> 4</w:t>
      </w:r>
      <w:r w:rsidR="002C1A1E" w:rsidRPr="00277C1B">
        <w:rPr>
          <w:rFonts w:asciiTheme="majorHAnsi" w:hAnsiTheme="majorHAnsi"/>
          <w:lang w:val="en-US"/>
        </w:rPr>
        <w:t>2</w:t>
      </w:r>
      <w:r w:rsidR="004048BD" w:rsidRPr="00277C1B">
        <w:rPr>
          <w:rFonts w:asciiTheme="majorHAnsi" w:hAnsiTheme="majorHAnsi"/>
          <w:lang w:val="en-US"/>
        </w:rPr>
        <w:t xml:space="preserve"> Hz)</w:t>
      </w:r>
      <w:r w:rsidR="002708BC" w:rsidRPr="00277C1B">
        <w:rPr>
          <w:rFonts w:asciiTheme="majorHAnsi" w:hAnsiTheme="majorHAnsi"/>
          <w:lang w:val="en-US"/>
        </w:rPr>
        <w:t xml:space="preserve">. </w:t>
      </w:r>
      <w:r w:rsidR="002C1A1E" w:rsidRPr="00277C1B">
        <w:rPr>
          <w:rFonts w:asciiTheme="majorHAnsi" w:hAnsiTheme="majorHAnsi"/>
          <w:lang w:val="en-US"/>
        </w:rPr>
        <w:t>An</w:t>
      </w:r>
      <w:r w:rsidR="002C1A1E">
        <w:rPr>
          <w:rFonts w:asciiTheme="majorHAnsi" w:hAnsiTheme="majorHAnsi"/>
          <w:lang w:val="en-US"/>
        </w:rPr>
        <w:t xml:space="preserve"> example of some of these signal components is reported in the figure below. </w:t>
      </w:r>
      <w:r w:rsidR="004048BD">
        <w:rPr>
          <w:rFonts w:asciiTheme="majorHAnsi" w:hAnsiTheme="majorHAnsi"/>
          <w:lang w:val="en-US"/>
        </w:rPr>
        <w:t xml:space="preserve">The relative power of the signal at the different bands indicates </w:t>
      </w:r>
      <w:r w:rsidR="002C1A1E">
        <w:rPr>
          <w:rFonts w:asciiTheme="majorHAnsi" w:hAnsiTheme="majorHAnsi"/>
          <w:lang w:val="en-US"/>
        </w:rPr>
        <w:t xml:space="preserve">different brain states. </w:t>
      </w:r>
    </w:p>
    <w:p w14:paraId="46858AAF" w14:textId="7C421757" w:rsidR="002708BC" w:rsidRPr="002708BC" w:rsidRDefault="00A80E37" w:rsidP="002C1A1E">
      <w:pPr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1FD40B0C" wp14:editId="38CD2B98">
            <wp:extent cx="2077109" cy="14006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3 at 23.36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96" cy="14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6445" w14:textId="77F53EEA" w:rsidR="002C1A1E" w:rsidRDefault="002C1A1E" w:rsidP="002C1A1E">
      <w:pPr>
        <w:rPr>
          <w:rFonts w:asciiTheme="majorHAnsi" w:hAnsiTheme="majorHAnsi"/>
        </w:rPr>
      </w:pPr>
      <w:r w:rsidRPr="002C1A1E">
        <w:rPr>
          <w:rFonts w:asciiTheme="majorHAnsi" w:hAnsiTheme="majorHAnsi"/>
        </w:rPr>
        <w:t xml:space="preserve">Study the short </w:t>
      </w:r>
      <w:proofErr w:type="spellStart"/>
      <w:r w:rsidRPr="002C1A1E">
        <w:rPr>
          <w:rFonts w:asciiTheme="majorHAnsi" w:hAnsiTheme="majorHAnsi"/>
        </w:rPr>
        <w:t>Matlab</w:t>
      </w:r>
      <w:proofErr w:type="spellEnd"/>
      <w:r w:rsidRPr="002C1A1E">
        <w:rPr>
          <w:rFonts w:asciiTheme="majorHAnsi" w:hAnsiTheme="majorHAnsi"/>
        </w:rPr>
        <w:t xml:space="preserve"> script provided and understand the meaning of the parameters. Use the </w:t>
      </w:r>
      <w:proofErr w:type="spellStart"/>
      <w:r w:rsidRPr="002C1A1E">
        <w:rPr>
          <w:rFonts w:asciiTheme="majorHAnsi" w:hAnsiTheme="majorHAnsi"/>
        </w:rPr>
        <w:t>Matlab</w:t>
      </w:r>
      <w:proofErr w:type="spellEnd"/>
      <w:r w:rsidRPr="002C1A1E">
        <w:rPr>
          <w:rFonts w:asciiTheme="majorHAnsi" w:hAnsiTheme="majorHAnsi"/>
        </w:rPr>
        <w:t xml:space="preserve"> script to estimate </w:t>
      </w:r>
      <w:r>
        <w:rPr>
          <w:rFonts w:asciiTheme="majorHAnsi" w:hAnsiTheme="majorHAnsi"/>
        </w:rPr>
        <w:t>the power spectral density (PSD) of the signal. The PSD is simply obtained from the Discrete Fourier Transform (DFT), as follows (see slides Lecture 3</w:t>
      </w:r>
      <w:r w:rsidR="007C1989">
        <w:rPr>
          <w:rFonts w:asciiTheme="majorHAnsi" w:hAnsiTheme="majorHAnsi"/>
        </w:rPr>
        <w:t xml:space="preserve"> and the provided </w:t>
      </w:r>
      <w:proofErr w:type="spellStart"/>
      <w:r w:rsidR="007C1989">
        <w:rPr>
          <w:rFonts w:asciiTheme="majorHAnsi" w:hAnsiTheme="majorHAnsi"/>
        </w:rPr>
        <w:t>Matlab</w:t>
      </w:r>
      <w:proofErr w:type="spellEnd"/>
      <w:r w:rsidR="007C1989">
        <w:rPr>
          <w:rFonts w:asciiTheme="majorHAnsi" w:hAnsiTheme="majorHAnsi"/>
        </w:rPr>
        <w:t xml:space="preserve"> script</w:t>
      </w:r>
      <w:r>
        <w:rPr>
          <w:rFonts w:asciiTheme="majorHAnsi" w:hAnsiTheme="majorHAnsi"/>
        </w:rPr>
        <w:t xml:space="preserve">): </w:t>
      </w:r>
    </w:p>
    <w:p w14:paraId="4D073B36" w14:textId="3BC8AB6F" w:rsidR="002C1A1E" w:rsidRPr="007C1989" w:rsidRDefault="002C1A1E" w:rsidP="002C1A1E">
      <w:pPr>
        <w:rPr>
          <w:rFonts w:asciiTheme="majorHAnsi" w:hAnsiTheme="majorHAns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PSD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[k]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2πkn/N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6F9C55E2" w14:textId="530C7798" w:rsidR="002C1A1E" w:rsidRDefault="002C1A1E" w:rsidP="002C1A1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From the PSD, estimate the percent of power in the </w:t>
      </w:r>
      <w:r w:rsidRPr="004048BD">
        <w:rPr>
          <w:rFonts w:asciiTheme="majorHAnsi" w:hAnsiTheme="majorHAnsi"/>
          <w:lang w:val="en-US"/>
        </w:rPr>
        <w:t>Delta</w:t>
      </w:r>
      <w:r>
        <w:rPr>
          <w:rFonts w:asciiTheme="majorHAnsi" w:hAnsiTheme="majorHAnsi"/>
          <w:lang w:val="en-US"/>
        </w:rPr>
        <w:t xml:space="preserve">, </w:t>
      </w:r>
      <w:r w:rsidRPr="004048BD">
        <w:rPr>
          <w:rFonts w:asciiTheme="majorHAnsi" w:hAnsiTheme="majorHAnsi"/>
          <w:lang w:val="en-US"/>
        </w:rPr>
        <w:t>Theta</w:t>
      </w:r>
      <w:r>
        <w:rPr>
          <w:rFonts w:asciiTheme="majorHAnsi" w:hAnsiTheme="majorHAnsi"/>
          <w:lang w:val="en-US"/>
        </w:rPr>
        <w:t xml:space="preserve">, </w:t>
      </w:r>
      <w:r w:rsidRPr="004048BD">
        <w:rPr>
          <w:rFonts w:asciiTheme="majorHAnsi" w:hAnsiTheme="majorHAnsi"/>
          <w:lang w:val="en-US"/>
        </w:rPr>
        <w:t>Alpha</w:t>
      </w:r>
      <w:r>
        <w:rPr>
          <w:rFonts w:asciiTheme="majorHAnsi" w:hAnsiTheme="majorHAnsi"/>
          <w:lang w:val="en-US"/>
        </w:rPr>
        <w:t xml:space="preserve">, </w:t>
      </w:r>
      <w:r w:rsidRPr="004048BD">
        <w:rPr>
          <w:rFonts w:asciiTheme="majorHAnsi" w:hAnsiTheme="majorHAnsi"/>
          <w:lang w:val="en-US"/>
        </w:rPr>
        <w:t>Beta</w:t>
      </w:r>
      <w:r>
        <w:rPr>
          <w:rFonts w:asciiTheme="majorHAnsi" w:hAnsiTheme="majorHAnsi"/>
          <w:lang w:val="en-US"/>
        </w:rPr>
        <w:t xml:space="preserve">, and </w:t>
      </w:r>
      <w:r w:rsidRPr="004048BD">
        <w:rPr>
          <w:rFonts w:asciiTheme="majorHAnsi" w:hAnsiTheme="majorHAnsi"/>
          <w:lang w:val="en-US"/>
        </w:rPr>
        <w:t>Gamma</w:t>
      </w:r>
      <w:r>
        <w:rPr>
          <w:rFonts w:asciiTheme="majorHAnsi" w:hAnsiTheme="majorHAnsi"/>
          <w:lang w:val="en-US"/>
        </w:rPr>
        <w:t xml:space="preserve"> bands</w:t>
      </w:r>
      <w:r w:rsidRPr="002C1A1E">
        <w:rPr>
          <w:rFonts w:asciiTheme="majorHAnsi" w:hAnsiTheme="majorHAnsi"/>
        </w:rPr>
        <w:t>.</w:t>
      </w:r>
      <w:r w:rsidR="00AD33EF">
        <w:rPr>
          <w:rFonts w:asciiTheme="majorHAnsi" w:hAnsiTheme="majorHAnsi"/>
        </w:rPr>
        <w:t xml:space="preserve"> The percent of power in a given band is computed by the area of the PSD in the band relative to the total area, as follows:</w:t>
      </w:r>
    </w:p>
    <w:p w14:paraId="5DF9CBCE" w14:textId="04227889" w:rsidR="00AD33EF" w:rsidRPr="007C1989" w:rsidRDefault="008E1A03" w:rsidP="002C1A1E">
      <w:pPr>
        <w:rPr>
          <w:rFonts w:asciiTheme="majorHAnsi" w:eastAsiaTheme="minorEastAsia" w:hAnsiTheme="majorHAnsi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percen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power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PSD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./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N/2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PSD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×100%</m:t>
          </m:r>
        </m:oMath>
      </m:oMathPara>
    </w:p>
    <w:p w14:paraId="60022567" w14:textId="0DC66999" w:rsidR="0037670F" w:rsidRPr="002C1A1E" w:rsidRDefault="0037670F" w:rsidP="002C1A1E">
      <w:pPr>
        <w:rPr>
          <w:rFonts w:asciiTheme="majorHAnsi" w:hAnsiTheme="majorHAnsi"/>
        </w:rPr>
      </w:pPr>
      <w:r>
        <w:rPr>
          <w:rFonts w:asciiTheme="majorHAnsi" w:eastAsiaTheme="minorEastAsia" w:hAnsiTheme="majorHAnsi"/>
          <w:iCs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Theme="majorHAnsi" w:eastAsiaTheme="minorEastAsia" w:hAnsiTheme="majorHAnsi"/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Theme="majorHAnsi" w:eastAsiaTheme="minorEastAsia" w:hAnsiTheme="majorHAnsi"/>
          <w:iCs/>
          <w:lang w:val="en-US"/>
        </w:rPr>
        <w:t xml:space="preserve"> are the discrete frequencies corresponding to the band to be analyzed and the denominator expresses the sum over the entire bandwidth (positive frequency values only).</w:t>
      </w:r>
    </w:p>
    <w:p w14:paraId="75CB89B3" w14:textId="77777777" w:rsidR="00B6557A" w:rsidRPr="00FF3FB3" w:rsidRDefault="00B6557A" w:rsidP="00B6557A">
      <w:pPr>
        <w:rPr>
          <w:rFonts w:asciiTheme="majorHAnsi" w:hAnsiTheme="majorHAnsi"/>
          <w:b/>
        </w:rPr>
      </w:pPr>
      <w:r w:rsidRPr="00FF3FB3">
        <w:rPr>
          <w:rFonts w:asciiTheme="majorHAnsi" w:hAnsiTheme="majorHAnsi"/>
          <w:b/>
        </w:rPr>
        <w:t>In your report, please provide the following:</w:t>
      </w:r>
    </w:p>
    <w:p w14:paraId="76C44F5C" w14:textId="696811A5" w:rsidR="002E2B48" w:rsidRDefault="007C1989" w:rsidP="002E2B48">
      <w:pPr>
        <w:pStyle w:val="ListParagraph"/>
        <w:numPr>
          <w:ilvl w:val="0"/>
          <w:numId w:val="3"/>
        </w:numPr>
      </w:pPr>
      <w:r>
        <w:t xml:space="preserve">Plot of the </w:t>
      </w:r>
      <w:r w:rsidR="002E2B48">
        <w:t>PSD</w:t>
      </w:r>
      <w:r>
        <w:t>s</w:t>
      </w:r>
      <w:r w:rsidR="002E2B48">
        <w:t xml:space="preserve"> of the signal </w:t>
      </w:r>
      <w:r>
        <w:t xml:space="preserve">obtained by </w:t>
      </w:r>
      <w:r w:rsidR="002E2B48">
        <w:t xml:space="preserve">analysing </w:t>
      </w:r>
      <w:r>
        <w:t xml:space="preserve">signal </w:t>
      </w:r>
      <w:r w:rsidR="002E2B48">
        <w:t>interval</w:t>
      </w:r>
      <w:r>
        <w:t>s</w:t>
      </w:r>
      <w:r w:rsidR="002E2B48">
        <w:t xml:space="preserve"> of 1 s, 5 s, and 15 s. Comment on the differences between these PSD</w:t>
      </w:r>
      <w:r>
        <w:t>s</w:t>
      </w:r>
      <w:r w:rsidR="002E2B48">
        <w:t>.</w:t>
      </w:r>
      <w:r w:rsidR="00084547">
        <w:t xml:space="preserve"> [50%]</w:t>
      </w:r>
    </w:p>
    <w:p w14:paraId="75C938F7" w14:textId="372C9CE9" w:rsidR="00EA3FB7" w:rsidRPr="00EA3FB7" w:rsidRDefault="002E2B48" w:rsidP="00AD33EF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Report the </w:t>
      </w:r>
      <w:r w:rsidR="00EA3FB7" w:rsidRPr="00EA3FB7">
        <w:rPr>
          <w:rFonts w:asciiTheme="majorHAnsi" w:hAnsiTheme="majorHAnsi"/>
          <w:lang w:val="en-US"/>
        </w:rPr>
        <w:t xml:space="preserve">percentage of power </w:t>
      </w:r>
      <w:r>
        <w:rPr>
          <w:rFonts w:asciiTheme="majorHAnsi" w:hAnsiTheme="majorHAnsi"/>
          <w:lang w:val="en-US"/>
        </w:rPr>
        <w:t xml:space="preserve">in the </w:t>
      </w:r>
      <w:r w:rsidR="00AD33EF" w:rsidRPr="00AD33EF">
        <w:rPr>
          <w:rFonts w:asciiTheme="majorHAnsi" w:hAnsiTheme="majorHAnsi"/>
          <w:lang w:val="en-US"/>
        </w:rPr>
        <w:t>Delta, Theta, Alpha, Beta, and Gamma bands</w:t>
      </w:r>
      <w:r w:rsidR="00AD33EF">
        <w:rPr>
          <w:rFonts w:asciiTheme="majorHAnsi" w:hAnsiTheme="majorHAnsi"/>
          <w:lang w:val="en-US"/>
        </w:rPr>
        <w:t xml:space="preserve"> </w:t>
      </w:r>
      <w:r w:rsidR="007C1989">
        <w:rPr>
          <w:rFonts w:asciiTheme="majorHAnsi" w:hAnsiTheme="majorHAnsi"/>
          <w:lang w:val="en-US"/>
        </w:rPr>
        <w:t xml:space="preserve">obtained from the PSD computed from signal </w:t>
      </w:r>
      <w:r w:rsidR="00AD33EF">
        <w:rPr>
          <w:rFonts w:asciiTheme="majorHAnsi" w:hAnsiTheme="majorHAnsi"/>
          <w:lang w:val="en-US"/>
        </w:rPr>
        <w:t>interval</w:t>
      </w:r>
      <w:r w:rsidR="007C1989">
        <w:rPr>
          <w:rFonts w:asciiTheme="majorHAnsi" w:hAnsiTheme="majorHAnsi"/>
          <w:lang w:val="en-US"/>
        </w:rPr>
        <w:t>s</w:t>
      </w:r>
      <w:r w:rsidR="00AD33EF">
        <w:rPr>
          <w:rFonts w:asciiTheme="majorHAnsi" w:hAnsiTheme="majorHAnsi"/>
          <w:lang w:val="en-US"/>
        </w:rPr>
        <w:t xml:space="preserve"> of 1 s, 5 s, and 15 s (a table is suggested). Comment on the results.</w:t>
      </w:r>
      <w:r w:rsidR="00536FE9">
        <w:rPr>
          <w:rFonts w:asciiTheme="majorHAnsi" w:hAnsiTheme="majorHAnsi"/>
          <w:lang w:val="en-US"/>
        </w:rPr>
        <w:t xml:space="preserve"> [50</w:t>
      </w:r>
      <w:r w:rsidR="009A49C3">
        <w:rPr>
          <w:rFonts w:asciiTheme="majorHAnsi" w:hAnsiTheme="majorHAnsi"/>
          <w:lang w:val="en-US"/>
        </w:rPr>
        <w:t>%]</w:t>
      </w:r>
    </w:p>
    <w:p w14:paraId="65872BE8" w14:textId="46FCF1C2" w:rsidR="0024235B" w:rsidRDefault="00B6557A" w:rsidP="00B6557A">
      <w:pPr>
        <w:pStyle w:val="NormalWeb"/>
        <w:ind w:right="-1056"/>
        <w:rPr>
          <w:rFonts w:asciiTheme="majorHAnsi" w:hAnsiTheme="majorHAnsi"/>
          <w:i/>
        </w:rPr>
      </w:pPr>
      <w:r w:rsidRPr="00FF3FB3">
        <w:rPr>
          <w:rFonts w:asciiTheme="majorHAnsi" w:hAnsiTheme="majorHAnsi"/>
          <w:i/>
        </w:rPr>
        <w:t>PLEASE NOTICE: The report is limited to one A4 page, including all graphs and comments.</w:t>
      </w:r>
    </w:p>
    <w:p w14:paraId="4B67D30E" w14:textId="6C1C0A28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lastRenderedPageBreak/>
        <w:t>% Third tutorial</w:t>
      </w:r>
    </w:p>
    <w:p w14:paraId="717997E3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14:paraId="60C4C4FE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14:paraId="77C622E8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clc</w:t>
      </w:r>
      <w:proofErr w:type="spellEnd"/>
    </w:p>
    <w:p w14:paraId="073607EF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3EDB13CC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Signal loading</w:t>
      </w:r>
    </w:p>
    <w:p w14:paraId="759346E2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load(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EEG.mat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  <w:proofErr w:type="gramEnd"/>
    </w:p>
    <w:p w14:paraId="2E133AC6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32C27C59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Sampling frequency</w:t>
      </w:r>
    </w:p>
    <w:p w14:paraId="6A292192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fsamp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512;</w:t>
      </w:r>
      <w:proofErr w:type="gramEnd"/>
    </w:p>
    <w:p w14:paraId="46F9C391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76D0703B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Select duration to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analyze</w:t>
      </w:r>
      <w:proofErr w:type="spellEnd"/>
    </w:p>
    <w:p w14:paraId="356E907A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Duration = 1;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Duration in seconds (max 15 seconds)</w:t>
      </w:r>
    </w:p>
    <w:p w14:paraId="6DA97AB3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Duration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Duration*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fsamp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14:paraId="19D511D3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EEG = EEG(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1:Duration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); </w:t>
      </w:r>
    </w:p>
    <w:p w14:paraId="1E199B9A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57733584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Signal duration in samples</w:t>
      </w:r>
    </w:p>
    <w:p w14:paraId="79D8E93C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EEG);</w:t>
      </w:r>
    </w:p>
    <w:p w14:paraId="11788C4D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58AB0FDB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Plot the EEG signal</w:t>
      </w:r>
    </w:p>
    <w:p w14:paraId="15C49521" w14:textId="77777777" w:rsidR="005B05AF" w:rsidRDefault="005B05AF" w:rsidP="005B05A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time_ax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0:L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-1]./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fsamp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14:paraId="5E8D7D29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1)</w:t>
      </w:r>
    </w:p>
    <w:p w14:paraId="750778E4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time_ax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, EEG);</w:t>
      </w:r>
    </w:p>
    <w:p w14:paraId="3AB5AB5B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'Time (s)'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667B8485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'EEG signal'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])</w:t>
      </w:r>
    </w:p>
    <w:p w14:paraId="2B97C094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'Amplitude EEG (Arbitrary Units)'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77C3B492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29F337D5" w14:textId="09C877F1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Compute DFT </w:t>
      </w:r>
    </w:p>
    <w:p w14:paraId="72B1A458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X1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 EEG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mean(EEG) );</w:t>
      </w:r>
    </w:p>
    <w:p w14:paraId="23FAA620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61C3F1AA" w14:textId="44E46A22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Compute PSD (power spectral 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density)and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adjust</w:t>
      </w:r>
    </w:p>
    <w:p w14:paraId="351AF102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frequency axis according to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notation</w:t>
      </w:r>
    </w:p>
    <w:p w14:paraId="75DD833D" w14:textId="77777777" w:rsidR="00202DD3" w:rsidRDefault="00202DD3" w:rsidP="00202DD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PSD1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(abs(X1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2)/L;</w:t>
      </w:r>
    </w:p>
    <w:p w14:paraId="4523700F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7B8EC2FE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Build the frequency axis in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radiants</w:t>
      </w:r>
      <w:proofErr w:type="spellEnd"/>
    </w:p>
    <w:p w14:paraId="2EDB786B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freq_a_rad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[-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pi+pi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/L:2*pi/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L:pi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-pi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/L];</w:t>
      </w:r>
    </w:p>
    <w:p w14:paraId="34A77B50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Convert the frequency axis in Hz</w:t>
      </w:r>
    </w:p>
    <w:p w14:paraId="183268C2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freq_a_Hz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freq_a_rad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./(2*pi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fsamp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14:paraId="60E992E5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7BB552C6" w14:textId="2F50968A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Plot the PSD with frequencies in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radiants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and Hz</w:t>
      </w:r>
    </w:p>
    <w:p w14:paraId="7635723C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2), subplot(2,1,1), plot(freq_a_rad,PSD1);</w:t>
      </w:r>
    </w:p>
    <w:p w14:paraId="7B6C4ED2" w14:textId="3440A2AC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'Frequency (radians)'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0518C534" w14:textId="78CB6CF3" w:rsidR="00AD33EF" w:rsidRDefault="00733313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proofErr w:type="gramEnd"/>
      <w:r w:rsidR="00AD33EF">
        <w:rPr>
          <w:rFonts w:ascii="Courier New" w:eastAsiaTheme="minorEastAsia" w:hAnsi="Courier New" w:cs="Courier New"/>
          <w:color w:val="A020F0"/>
          <w:sz w:val="20"/>
          <w:szCs w:val="20"/>
        </w:rPr>
        <w:t>'Power Spectral Density of EEG'</w:t>
      </w:r>
      <w:r w:rsidR="00AD33EF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2252198F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'PSD (Arbitrary Units)'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42AB493B" w14:textId="7512F2DD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14:paraId="402544CF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2), subplot(2,1,2), plot(freq_a_Hz,PSD1);</w:t>
      </w:r>
    </w:p>
    <w:p w14:paraId="70CD9402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'Frequency (Hz)'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19B416A0" w14:textId="0F1543DA" w:rsidR="00AD33EF" w:rsidRDefault="00733313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proofErr w:type="gramEnd"/>
      <w:r w:rsidR="00AD33EF">
        <w:rPr>
          <w:rFonts w:ascii="Courier New" w:eastAsiaTheme="minorEastAsia" w:hAnsi="Courier New" w:cs="Courier New"/>
          <w:color w:val="A020F0"/>
          <w:sz w:val="20"/>
          <w:szCs w:val="20"/>
        </w:rPr>
        <w:t>'Power Spectral Density of EEG'</w:t>
      </w:r>
      <w:r w:rsidR="00AD33EF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2CD4C261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'PSD (Arbitrary Units)'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14:paraId="7931DD4D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14:paraId="0903B98E" w14:textId="77777777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%% Compute the percentage of power in different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subbands</w:t>
      </w:r>
      <w:proofErr w:type="spellEnd"/>
    </w:p>
    <w:p w14:paraId="62023E7C" w14:textId="024A9AD5" w:rsidR="00AD33EF" w:rsidRPr="00DC176D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for computing the relative power in the frequency bands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.]</w:t>
      </w:r>
    </w:p>
    <w:p w14:paraId="2BCFE8B8" w14:textId="51F2931A" w:rsidR="00AD33EF" w:rsidRDefault="00AD33EF" w:rsidP="00AD33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14:paraId="056128FE" w14:textId="77777777" w:rsidR="00AD33EF" w:rsidRPr="00DC7302" w:rsidRDefault="00AD33EF" w:rsidP="00B6557A">
      <w:pPr>
        <w:pStyle w:val="NormalWeb"/>
        <w:ind w:right="-1056"/>
        <w:rPr>
          <w:sz w:val="30"/>
          <w:szCs w:val="30"/>
        </w:rPr>
      </w:pPr>
    </w:p>
    <w:sectPr w:rsidR="00AD33EF" w:rsidRPr="00DC7302" w:rsidSect="002423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232"/>
    <w:multiLevelType w:val="hybridMultilevel"/>
    <w:tmpl w:val="6FFA6516"/>
    <w:lvl w:ilvl="0" w:tplc="CBFE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C08"/>
    <w:multiLevelType w:val="hybridMultilevel"/>
    <w:tmpl w:val="6658CD4E"/>
    <w:lvl w:ilvl="0" w:tplc="E2BAA690">
      <w:start w:val="2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316D4D62"/>
    <w:multiLevelType w:val="multilevel"/>
    <w:tmpl w:val="50A09340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71" w:hanging="720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31" w:hanging="2160"/>
      </w:pPr>
      <w:rPr>
        <w:rFonts w:hint="default"/>
      </w:rPr>
    </w:lvl>
  </w:abstractNum>
  <w:abstractNum w:abstractNumId="3" w15:restartNumberingAfterBreak="0">
    <w:nsid w:val="4228333A"/>
    <w:multiLevelType w:val="hybridMultilevel"/>
    <w:tmpl w:val="1B88A42E"/>
    <w:lvl w:ilvl="0" w:tplc="6D20B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940743">
    <w:abstractNumId w:val="2"/>
  </w:num>
  <w:num w:numId="2" w16cid:durableId="824783925">
    <w:abstractNumId w:val="1"/>
  </w:num>
  <w:num w:numId="3" w16cid:durableId="226649244">
    <w:abstractNumId w:val="0"/>
  </w:num>
  <w:num w:numId="4" w16cid:durableId="658390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A8"/>
    <w:rsid w:val="00010F6B"/>
    <w:rsid w:val="0002589D"/>
    <w:rsid w:val="000405E7"/>
    <w:rsid w:val="00065B48"/>
    <w:rsid w:val="00084547"/>
    <w:rsid w:val="000A6AA8"/>
    <w:rsid w:val="001B68BA"/>
    <w:rsid w:val="00202DD3"/>
    <w:rsid w:val="0024235B"/>
    <w:rsid w:val="002708BC"/>
    <w:rsid w:val="002745C4"/>
    <w:rsid w:val="00277C1B"/>
    <w:rsid w:val="002C1A1E"/>
    <w:rsid w:val="002E0147"/>
    <w:rsid w:val="002E2B48"/>
    <w:rsid w:val="002F2FFF"/>
    <w:rsid w:val="00304C83"/>
    <w:rsid w:val="00335E42"/>
    <w:rsid w:val="0037670F"/>
    <w:rsid w:val="00377198"/>
    <w:rsid w:val="00381D14"/>
    <w:rsid w:val="003E481D"/>
    <w:rsid w:val="004048BD"/>
    <w:rsid w:val="00442F22"/>
    <w:rsid w:val="00456E3B"/>
    <w:rsid w:val="004964E6"/>
    <w:rsid w:val="004A1275"/>
    <w:rsid w:val="00536FE9"/>
    <w:rsid w:val="00541E0F"/>
    <w:rsid w:val="005579C9"/>
    <w:rsid w:val="00595312"/>
    <w:rsid w:val="005B05AF"/>
    <w:rsid w:val="005B1A96"/>
    <w:rsid w:val="006037EC"/>
    <w:rsid w:val="00680AD1"/>
    <w:rsid w:val="006911F1"/>
    <w:rsid w:val="006A15F6"/>
    <w:rsid w:val="006D2C0D"/>
    <w:rsid w:val="00726532"/>
    <w:rsid w:val="00733313"/>
    <w:rsid w:val="00787BCA"/>
    <w:rsid w:val="007C1989"/>
    <w:rsid w:val="007C5C07"/>
    <w:rsid w:val="00803882"/>
    <w:rsid w:val="008628DA"/>
    <w:rsid w:val="008D6507"/>
    <w:rsid w:val="008E1A03"/>
    <w:rsid w:val="00930407"/>
    <w:rsid w:val="009A49C3"/>
    <w:rsid w:val="009B0101"/>
    <w:rsid w:val="00A332E3"/>
    <w:rsid w:val="00A5466A"/>
    <w:rsid w:val="00A80E37"/>
    <w:rsid w:val="00AC0E1D"/>
    <w:rsid w:val="00AC3EFB"/>
    <w:rsid w:val="00AD33EF"/>
    <w:rsid w:val="00B073CB"/>
    <w:rsid w:val="00B23BAD"/>
    <w:rsid w:val="00B259FF"/>
    <w:rsid w:val="00B43C3F"/>
    <w:rsid w:val="00B601E9"/>
    <w:rsid w:val="00B6557A"/>
    <w:rsid w:val="00BE5A4E"/>
    <w:rsid w:val="00BF252B"/>
    <w:rsid w:val="00C259C3"/>
    <w:rsid w:val="00C4766F"/>
    <w:rsid w:val="00C51B55"/>
    <w:rsid w:val="00D45606"/>
    <w:rsid w:val="00DC7302"/>
    <w:rsid w:val="00DF3764"/>
    <w:rsid w:val="00E153A8"/>
    <w:rsid w:val="00E25A04"/>
    <w:rsid w:val="00E2723F"/>
    <w:rsid w:val="00EA3FB7"/>
    <w:rsid w:val="00EE6CC1"/>
    <w:rsid w:val="00EF0FA9"/>
    <w:rsid w:val="00F3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F5140"/>
  <w14:defaultImageDpi w14:val="300"/>
  <w15:docId w15:val="{0A28BD9B-FE87-4B7B-8524-099C2CDC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57A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7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04C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4E6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7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Rui, Hongyu R</cp:lastModifiedBy>
  <cp:revision>34</cp:revision>
  <dcterms:created xsi:type="dcterms:W3CDTF">2017-10-26T13:29:00Z</dcterms:created>
  <dcterms:modified xsi:type="dcterms:W3CDTF">2023-11-08T17:00:00Z</dcterms:modified>
</cp:coreProperties>
</file>