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МИНОБРНАУКИ РОССИИ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Санкт-Петербургский государственный электротехнический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университет «ЛЭТИ» им. В.И. Ульянова (Ленина)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Кафедра ИС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 практической работе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 дисциплине «Безопасность искусственного интеллекта»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Аудит доверенности системы диагностики COVID-19 по рентгенограммам грудной клетки: предварительный этап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134"/>
        <w:gridCol w:w="3134"/>
        <w:gridCol w:w="3134"/>
      </w:tblGrid>
      <w:tr>
        <w:trPr>
          <w:cantSplit/>
        </w:trPr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Студенты гр. 1378</w:t>
            </w:r>
          </w:p>
        </w:tc>
        <w:tc>
          <w:tcPr>
            <w:tcW w:type="dxa" w:w="28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Панов А.Ю., Ханна М.Н., Семенов М.Д.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Преподаватель</w:t>
            </w:r>
          </w:p>
        </w:tc>
        <w:tc>
          <w:tcPr>
            <w:tcW w:type="dxa" w:w="28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Новикова Е.С.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Санкт-Петербург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2026</w:t>
      </w:r>
    </w:p>
    <w:p>
      <w:pPr>
        <w:keepNext/>
        <w:pageBreakBefore/>
        <w:spacing w:before="240" w:after="16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ЗАДАНИЕ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Цель работы: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приобретение навыков аудита доверенности систем искусственного интеллекта на примере медицинской системы диагностики COVID-19 по рентгенограммам грудной клетки; формирование воспроизводимой «точки отсчёта» (замороженная базовая модель и её метрика) для всего практического цикла.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Исходная постановка задачи: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бинарная классификация фронтальной рентгенограммы грудной клетки по признаку COVID-19 — класс «COVID» (положительный) против класса «Normal» (здоровый); решение принимается по одному изображению, без использования метаданных пациента. Требуется выбрать и описать набор данных, определить входную и выходную модальности, сформировать обучающую, валидационную и тестовую выборки, выбрать архитектуру глубокой модели, обучить baseline-модель, определить основную метрику качества и зафиксировать все параметры вычислительного эксперимента для воспроизводимости.</w:t>
      </w: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Известные параметры:</w:t>
      </w:r>
    </w:p>
    <w:p>
      <w:pPr>
        <w:keepNext/>
        <w:spacing w:before="80" w:after="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1. Исходные параметры предварительного этапа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4701"/>
        <w:gridCol w:w="4701"/>
      </w:tblGrid>
      <w:tr>
        <w:trPr>
          <w:cantSplit/>
          <w:tblHeader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Набор данных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COVID-19 Radiography Database (v4), классы COVID и Normal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Организованный пул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7200 снимков (3600 COVID / 3600 Normal)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Размер изображения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299×299 px (исходный PNG); вход модели — 224×224×3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Схема разбиения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80/10/10, seed 42 → 5760 / 720 / 720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Архитектура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ResNet18 (transfer learning, ImageNet), head: Dropout(0.5) + Linear(512, 2)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Основная метрика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Accuracy (доля верных решений)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Базовая метрика M(0)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0,9833; 95 % ДИ Уилсона [0,9711; 0,9904]</w:t>
            </w:r>
          </w:p>
        </w:tc>
      </w:tr>
    </w:tbl>
    <w:p>
      <w:pPr>
        <w:spacing w:before="0" w:after="0"/>
      </w:pP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Дата сдачи работы на проверку: 27.10.2026</w:t>
      </w:r>
    </w:p>
    <w:p>
      <w:pPr>
        <w:keepNext/>
        <w:pageBreakBefore/>
        <w:spacing w:before="240" w:after="16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ТЕОРИЯ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Доверенность (trustworthiness) системы искусственного интеллекта — интегральная характеристика, складывающаяся из нескольких измеримых свойств: качества данных, устойчивости к естественным искажениям входов, состязательной устойчивости, приватности обучающей выборки и интерпретируемости решений. Оценка доверенности требует не одного числа, а согласованного набора измерений, выполненных на одном и том же объекте исследования. Настоящий практический цикл построен именно по такому принципу: единый набор данных и единая замороженная модель последовательно исследуются по каждому из свойств доверенности.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точки отсчёта цикла фиксируется базовая (baseline) модель и её метрика качества M(0) на неизменённом тестовом наборе. Согласно завершающему правилу методических рекомендаций, базовая модель должна использоваться во всех практических работах без изменения её параметров: любое дообучение или замена весов сделали бы результаты несопоставимыми, поскольку измеряемые изменения свойств нельзя было бы отделить от изменения самой модели. Поэтому предварительный этап завершается замораживанием чекпойнта и полной фиксацией параметров эксперимента.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Предметная область — медицинская визуализация: автоматический анализ фронтальных рентгенограмм грудной клетки. Такие системы чувствительны к асимметрии последствий ошибок: пропуск случая (ложноотрицательное решение) задерживает лечение и способствует распространению инфекции, тогда как ложная тревога (ложноположительное решение) ведёт к необоснованной изоляции и лишнему дообследованию. Эта асимметрия превращает качество модели из чисто технической характеристики в вопрос безопасности, что и мотивирует последующий анализ устойчивости и приватности.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Формально решается задача бинарной классификации. Для тестовой выборки объёма n основная метрика M(θ) определяется как доля верных решений — совпадений прогноза модели с истинной меткой. Для доли событий доверительный интервал строится методом Уилсона, который корректно работает на границах и при умеренных объёмах выборки; для нелинейных вторичных метрик (F1) применяется percentile-bootstrap. Класс COVID считается положительным, поэтому матрица ошибок интерпретируется через TP, FN, FP и TN, а вторичные метрики (recall, precision, F1) вычисляются по классу COVID.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Воспроизводимость эксперимента обеспечивается фиксацией семи групп параметров: версии и источника данных, схемы разбиения, случайного seed, архитектуры и инициализации, гиперпараметров обучения, версий библиотек и способа вычисления основной метрики. Дополнительно контролируются контрольные суммы артефактов, что позволяет независимо подтвердить тождество использованного чекпойнта.</w:t>
      </w:r>
    </w:p>
    <w:p>
      <w:pPr>
        <w:keepNext/>
        <w:pageBreakBefore/>
        <w:spacing w:before="240" w:after="16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ХОД РАБОТЫ</w:t>
      </w:r>
    </w:p>
    <w:p>
      <w:pPr>
        <w:keepNext/>
        <w:spacing w:before="20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 Постановка задачи</w:t>
      </w: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1.1. Предметная область и аналитическая задача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Предметная область — медицинская визуализация: автоматический анализ фронтальных рентгенограмм грудной клетки. Аналитическая задача — бинарная классификация снимка по признаку COVID-19: класс «COVID» (положительный) против класса «Normal» (здоровый). Решение принимается по одному изображению, без использования метаданных пациента или анамнеза. Задача выбрана как типичный представитель медицинского машинного обучения: у неё простая и клинически интерпретируемая структура ошибок, общедоступные данные и компактная бинарная постановка, удобная для систематического исследования свойств доверенности.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Контекст применения модели — вспомогательный инструмент сортировки (triage) при скрининге потока пациентов: модель помечает и ранжирует снимки, окончательное решение остаётся за клиницистом. Система не предназначена для автономной постановки диагноза. Класс COVID является целевым положительным классом; пропуск случая (ложный отрицательный, FN) ведёт к распространению инфекции и задержке лечения, а ложная тревога (ложный положительный, FP) — к необоснованной изоляции и лишнему дообследованию.</w:t>
      </w: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1.2. Формальная постановка и обозначения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Пусть D = {(x_i, y_i)}_{i=1..n} — тестовая выборка, где x_i — изображение размера 224×224×3, y_i ∈ {0, 1} — истинная метка (0 — COVID, 1 — Normal). Модель f_θ: R^{224×224×3} → R^2 выдаёт вектор логитов, из которого прогноз определяется как yhat_i = argmax f_θ(x_i). Основная метрика:</w:t>
      </w:r>
    </w:p>
    <w:p>
      <w:pPr>
        <w:spacing w:before="80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M(θ) = (1/n) · Σ_i 1[yhat_i = y_i].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Класс COVID считается положительным, поэтому элементы матрицы ошибок обозначаются TP (истинно положительные), FN (пропуски), FP (ложные тревоги) и TN (истинно отрицательные). Доверительный интервал для M(θ) как доли событий строится методом Уилсона с уровнем доверия 95 %; интервалы для вторичных метрик — percentile-bootstrap с B = 2000 повторностей.</w:t>
      </w:r>
    </w:p>
    <w:p>
      <w:pPr>
        <w:keepNext/>
        <w:spacing w:before="20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 Набор данных и модальности</w:t>
      </w: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 Источник и состав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 данных — открытый набор «COVID-19 Radiography Database» (версия v4), классы COVID и Normal. Полная версия v4 содержит 3616 снимков класса COVID и 10192 снимка класса Normal. Для бинарной задачи курса используется сбалансированная подвыборка: первые 3600 отсортированных файлов каждого класса копируются в плоскую ImageFolder-структуру, что снимает исходный дисбаланс и выравнивает классы. Поскольку локальный доступ к API платформы недоступен, для воспроизведения использовано зеркало набора, у которого число файлов по каждому классу точно совпадает с версией v4; тождество состава подтверждено попарным подсчётом файлов.</w:t>
      </w:r>
    </w:p>
    <w:p>
      <w:pPr>
        <w:keepNext/>
        <w:spacing w:before="80" w:after="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2. Состав используемого набора данных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rPr>
          <w:cantSplit/>
          <w:tblHeader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Класс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Снимков в версии v4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Использовано в цикле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COVID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3616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3600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Normal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10192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3600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13808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7200</w:t>
            </w:r>
          </w:p>
        </w:tc>
      </w:tr>
    </w:tbl>
    <w:p>
      <w:pPr>
        <w:spacing w:before="0" w:after="0"/>
      </w:pP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Лицензия набора, указанная на его странице, — «Data files © Original Authors»: файлы данных принадлежат авторам набора, явная открытая лицензия для перераспространения не заявлена; файлы данных в артефакты цикла не включаются.</w:t>
      </w: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 Входная и выходная модальности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Входная модальность — RGB-изображение размера 224×224×3. Исходный снимок является полутоновым (grayscale) и конвертируется в трёхканальный вид (три одинаковых канала), после чего приводится к размеру 224×224 билинейной интерполяцией. Такой вход совместим с архитектурой ResNet18, предобученной на трёхканальных изображениях ImageNet.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Пайплайн предобработки инференса: Resize((224, 224)) → ToTensor() → Normalize(mean = [0.485, 0.456, 0.406], std = [0.229, 0.224, 0.225]). Обучающий пайплайн дополняет эту цепочку аугментациями, применяемыми исключительно к обучающей выборке; валидационная и тестовая выборки обрабатываются тем же пайплайном, что и инференс. Выходная модальность — вектор логитов размерности 2, преобразуемый функцией softmax в вероятности P(COVID) и P(Normal); итоговый ответ — класс с максимальной вероятностью. Тождество пайплайна инференса во всех артефактах цикла — обязательное условие сопоставимости результатов.</w:t>
      </w: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2.3. Схема разбиения train / validation / test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Схема разбиения воспроизводит исходный ноутбук: классы сортируются по алфавиту (COVID = 0, Normal = 1), после чего применяется случайное разбиение с пропорциями 80/10/10 и фиксированным seed 42. Итоговые размеры: обучающая выборка — 5760 снимков, валидационная — 720, тестовая — 720. Seed зафиксирован для всех генераторов случайности (random, numpy, torch, CUDA) с включением детерминированного режима, что делает разбиение воспроизводимым.</w:t>
      </w:r>
    </w:p>
    <w:p>
      <w:pPr>
        <w:keepNext/>
        <w:spacing w:before="80" w:after="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3. Распределение классов по выборкам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</w:trP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Выборка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Всего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COVID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Normal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Доля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Обучающая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5760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2884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2876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80 %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Валидационная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720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355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Тестовая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720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361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359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10 %</w:t>
            </w:r>
          </w:p>
        </w:tc>
      </w:tr>
    </w:tbl>
    <w:p>
      <w:pPr>
        <w:spacing w:before="0" w:after="0"/>
      </w:pP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Ограничения схемы. Во-первых, случайное разбиение не выполняет стратификацию по классам: баланс достигнут эмпирически, а не гарантирован процедурой; фиксация seed устраняет неоднозначность для данного цикла. Во-вторых, метаданные набора не содержат идентификаторов пациентов, поэтому разбиение по субъектам (предотвращающее утечку между выборками) непостроимо; это ограничение зафиксировано и будет количественно оценено на последующих этапах через анализ дубликатов и межвыборочных совпадений.</w:t>
      </w: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2.4. Предобработка и аугментации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Аугментации применяются только к обучающей выборке: RandomHorizontalFlip(p = 0.5), RandomRotation(10°) и ColorJitter(brightness = 0.2, contrast = 0.2) после приведения к размеру 224×224. Валидационная и тестовая выборки не аугментируются — это обеспечивает корректность измерения метрики и её сопоставимость между этапами цикла.</w:t>
      </w:r>
    </w:p>
    <w:p>
      <w:pPr>
        <w:keepNext/>
        <w:spacing w:before="20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 Архитектура и обучение базовой модели</w:t>
      </w: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 Архитектура и гиперпараметры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Архитектура — ResNet18 в режиме transfer learning: загружались предобученные веса ImageNet, все параметры замораживались, кроме блока layer4 (дообучение под медицинский домен) и новой классификационной головы fc = Sequential(Dropout(p = 0.5), Linear(512, 2)). Общее число параметров — 11 177 538. Выбор архитектуры обоснован её распространённостью в медицинской визуализации, умеренным размером (совместимым с учебным вычислительным бюджетом) и наличием предобученных весов.</w:t>
      </w:r>
    </w:p>
    <w:p>
      <w:pPr>
        <w:keepNext/>
        <w:spacing w:before="80" w:after="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4. Гиперпараметры обучения базовой модели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4701"/>
        <w:gridCol w:w="4701"/>
      </w:tblGrid>
      <w:tr>
        <w:trPr>
          <w:cantSplit/>
          <w:tblHeader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Оптимизатор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Adam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Скорость обучения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1e-4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Weight decay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1e-5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ReduceLROnPlateau(mode='max', factor=0.5, patience=3, min_lr=1e-7)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Функция потерь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CrossEntropyLoss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Число эпох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 (лучшая эпоха — 15)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Размер батча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Ранняя остановка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patience 5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Аугментации (только train)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RandomHorizontalFlip(0.5), RandomRotation(10°), ColorJitter(0.2; 0.2)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Размер входа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224×224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Замораживание слоёв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все, кроме layer4 и головы fc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Число параметров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11 177 538</w:t>
            </w:r>
          </w:p>
        </w:tc>
      </w:tr>
    </w:tbl>
    <w:p>
      <w:pPr>
        <w:spacing w:before="0" w:after="0"/>
      </w:pP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 Процедура обучения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Обучение выполнено за 20 эпох; планировщик снижал скорость обучения по валидационной точности, ранняя остановка не сработала, чекпойнт сохранялся по лучшей валидационной точности (эпоха 15, значение 0,9917). Сохранённый чекпойнт — это словарь состояния модели (122 тензора, около 44,8 МБ), который загружается на CPU и восстанавливается заданной архитектурой. В соответствии с завершающим правилом методики базовая модель заморожена: на всех последующих этапах она используется без изменения параметров.</w:t>
      </w: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3.3. Среда выполнения</w:t>
      </w:r>
    </w:p>
    <w:p>
      <w:pPr>
        <w:keepNext/>
        <w:spacing w:before="80" w:after="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5. Среда выполнения эксперимента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rPr>
          <w:cantSplit/>
          <w:tblHeader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Компонент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Обучение baseline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Воспроизведение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Платформа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Google Colab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Windows (локально)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Графический ускоритель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NVIDIA Tesla T4 (15,8 ГБ)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NVIDIA GeForce RTX 2050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 PyTorch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2.9.0+cu126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2.9.1+cu130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08.02.2026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Значение M(0)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0,98333 (история обучения)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0,9833 [0,9711; 0,9904]</w:t>
            </w:r>
          </w:p>
        </w:tc>
      </w:tr>
    </w:tbl>
    <w:p>
      <w:pPr>
        <w:spacing w:before="0" w:after="0"/>
      </w:pPr>
    </w:p>
    <w:p>
      <w:pPr>
        <w:keepNext/>
        <w:spacing w:before="20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 Основная метрика качества и её обоснование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Основная метрика качества — Accuracy (доля верных предсказаний на тестовой выборке). Согласно методическим рекомендациям, для задач классификации допустимыми основными метриками являются Accuracy, Balanced Accuracy, Macro-F1 и ROC-AUC. Выбор Accuracy обоснован структурой данных: тестовый набор практически сбалансирован (361 COVID / 359 Normal, отношение классов 1,006), поэтому Accuracy не смещена к мажоритарному классу и клинически интерпретируема как доля правильных решений скрининга.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Способ вычисления: для каждого объекта тестовой выборки сравниваются argmax логитов модели и истинная метка; класс COVID считается положительным. Наряду с основной метрикой для полноты вычисляются вторичные метрики по классу COVID (recall, precision, F1); они приводятся с доверительными интервалами. Accuracy зафиксирована как основная метрика для всего цикла: на этапе устойчивости она вычисляется на искажённых данных, на этапе состязательной устойчивости — как устойчивая точность, на этапе приватности — как основа генерализационного разрыва. Тем самым результаты всех этапов сопоставимы между собой и с точкой отсчёта M(0).</w:t>
      </w:r>
    </w:p>
    <w:p>
      <w:pPr>
        <w:keepNext/>
        <w:spacing w:before="20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 Зафиксированный результат предварительного этапа</w:t>
      </w: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5.1. Матрица ошибок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неизменённом тестовом наборе (n = 720: 361 COVID / 359 Normal) замороженный чекпойнт показывает M(0) = 0,9833. Матрица ошибок приведена в таблице 6.</w:t>
      </w:r>
    </w:p>
    <w:p>
      <w:pPr>
        <w:keepNext/>
        <w:spacing w:before="80" w:after="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6. Матрица ошибок на тестовой выборке (n = 720)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rPr>
          <w:cantSplit/>
          <w:tblHeader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Истина \ Прогноз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COVID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Normal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COVID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354 (TP)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 (FN)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Normal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 (FP)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354 (TN)</w:t>
            </w:r>
          </w:p>
        </w:tc>
      </w:tr>
    </w:tbl>
    <w:p>
      <w:pPr>
        <w:spacing w:before="0" w:after="0"/>
      </w:pP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5.2. Основная и вторичные метрики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Основная метрика M(0) = 0,9833 с 95 %-м доверительным интервалом Уилсона [0,9711; 0,9904]. Ширина интервала отражает объём тестовой выборки (720 снимков). Результат совпадает с фиксацией исходного обучения (test_accuracy = 0,98333) и воспроизведён на другом оборудовании, что подтверждает корректность пайплайна предобработки и разбиения.</w:t>
      </w:r>
    </w:p>
    <w:p>
      <w:pPr>
        <w:keepNext/>
        <w:spacing w:before="80" w:after="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7. Метрики предварительного этапа с 95 %-ми доверительными интервалами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/>
          <w:tblHeader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Метрика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95 % ДИ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Метод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Accuracy (основная)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0,9833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[0,9711; 0,9904]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Уилсон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Recall (COVID)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0,9806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[0,9605; 0,9906]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Уилсон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Precision (COVID)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0,9861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[0,9678; 0,9940]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Уилсон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F1 (COVID)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0,9833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[0,9727; 0,9918]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Bootstrap (B = 2000)</w:t>
            </w:r>
          </w:p>
        </w:tc>
      </w:tr>
    </w:tbl>
    <w:p>
      <w:pPr>
        <w:spacing w:before="0" w:after="0"/>
      </w:pP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8"/>
        </w:rPr>
        <w:t>5.3. Артефакты и контрольные суммы</w:t>
      </w:r>
    </w:p>
    <w:p>
      <w:pPr>
        <w:keepNext/>
        <w:spacing w:before="80" w:after="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8. Артефакты предварительного этапа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rPr>
          <w:cantSplit/>
          <w:tblHeader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Артефакт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Контрольная сумма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best_model.pth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замороженный чекпойнт (122 тензора, 44 789 835 Б)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SHA-256 0ba793cb…b504f0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training_history.json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история обучения (test_accuracy = 0,98333)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split_indices.json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индексы разбиения 80/10/10 (seed 42)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metrics.json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зафиксированные метрики этапа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reproducibility.json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полный фиксатор параметров эксперимента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before="0" w:after="0"/>
      </w:pPr>
    </w:p>
    <w:p>
      <w:pPr>
        <w:keepNext/>
        <w:spacing w:before="20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 Воспроизводимость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семь групп параметров методики зафиксированы в файле reproducibility.json: (1) версия и источник данных; (2) схема разбиения 80/10/10 (seed 42) с распределением классов по выборкам; (3) случайный seed 42 для всех генераторов с детерминированным режимом; (4) архитектура и инициализация (ResNet18, transfer learning, заморожены все слои, кроме layer4 и головы); (5) гиперпараметры обучения (таблица 4); (6) версии ключевых библиотек; (7) основная метрика и способ её вычисления с описанием процедуры интервала.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Файлы воспроизводимости: reproducibility.json (полный фиксатор параметров), requirements.txt (зависимости), скрипт точного воспроизведения M(0) на замороженном чекпойнте, а также ячейка проверки, сверяющая печатаемое значение M(0) с фиксатором. Среда инференса (Windows, RTX 2050, CUDA) отлична от среды обучения (Colab, Tesla T4), однако точное совпадение метрики демонстрирует переносимость пайплайна инференса.</w:t>
      </w:r>
    </w:p>
    <w:p>
      <w:pPr>
        <w:keepNext/>
        <w:spacing w:before="20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7. План последующих этапов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соответствии с методикой замороженный чекпойнт и метрика M(0) = 0,9833 [0,9711; 0,9904] будут использоваться без изменений на всех последующих этапах цикла. Настоящий отчёт содержит исключительно предварительный этап; результаты, таблицы и выводы последующих работ будут добавлены в отчёт по мере их выполнения (таблица 9).</w:t>
      </w:r>
    </w:p>
    <w:p>
      <w:pPr>
        <w:keepNext/>
        <w:spacing w:before="80" w:after="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9. План последующих этапов практического цикла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rPr>
          <w:cantSplit/>
          <w:tblHeader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Этап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Содержание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ПР1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Качество набора данных: полнота, валидность, дубликаты, утечки train↔test, баланс, качество разметки, репрезентативность, аномалии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будет добавлено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ПР2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Устойчивость к естественным искажениям (шум, размытие, JPEG); кривые устойчивости и интегральная метрика R-AUC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будет добавлено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ПР3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Состязательная устойчивость в постановке белого ящика (FGSM, PGD); ASR и R-AUC_ε; контроль независимой сильной атакой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будет добавлено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ПР4</w:t>
            </w:r>
          </w:p>
        </w:tc>
        <w:tc>
          <w:tcPr>
            <w:tcW w:type="dxa" w:w="5953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Приватность обучающей выборки (Membership Inference Attack): ROC-AUC, Attack Accuracy, TPR@FPR, генерализационный разрыв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будет добавлено</w:t>
            </w:r>
          </w:p>
        </w:tc>
      </w:tr>
    </w:tbl>
    <w:p>
      <w:pPr>
        <w:spacing w:before="0" w:after="0"/>
      </w:pPr>
    </w:p>
    <w:p>
      <w:pPr>
        <w:keepNext/>
        <w:spacing w:before="240" w:after="16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ВЫВОДЫ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предварительного этапа сформулирована аналитическая задача и контекст применения модели, выбран и описан набор данных, определены входная и выходная модальности, сформированы обучающая, валидационная и тестовая выборки, выбрана архитектура глубокой модели, обучена базовая модель, определена основная метрика качества и зафиксированы все параметры вычислительного эксперимента.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Обученная базовая модель (ResNet18, transfer learning) достигла значения основной метрики M(0) = 0,9833 с 95 %-м доверительным интервалом Уилсона [0,9711; 0,9904] на неизменённом тестовом наборе из 720 снимков (TP = 354, FN = 7, FP = 5, TN = 354). Результат в точности воспроизводится из сохранённого чекпойнта и совпадает с фиксацией истории обучения.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Сформирована воспроизводимая «точка отсчёта» практического цикла: замороженный чекпойнт, зафиксированная метрика с доверительным интервалом и полный набор параметров эксперимента. В соответствии с завершающим правилом методики базовая модель будет использоваться во всех последующих работах без изменения параметров, что обеспечивает сопоставимость измерений доверенных свойств.</w:t>
      </w:r>
    </w:p>
    <w:p>
      <w:pPr>
        <w:spacing w:before="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Зафиксированы ограничения этапа: невозможность разбиения по субъектам из-за отсутствия идентификаторов пациентов, отсутствие стратификации при разбиении и расхождение сред обучения и воспроизведения. Эти ограничения будут количественно исследованы на последующих этапах цикла. Результаты последующих работ в настоящий отчёт не входят и будут представлены отдельно.</w:t>
      </w:r>
    </w:p>
    <w:sectPr w:rsidR="00E25708" w:rsidRPr="00B214EB" w:rsidSect="00034616">
      <w:pgSz w:w="12240" w:h="15840"/>
      <w:pgMar w:top="1411" w:right="1138" w:bottom="1411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157149">
    <w:abstractNumId w:val="8"/>
  </w:num>
  <w:num w:numId="2" w16cid:durableId="1532954093">
    <w:abstractNumId w:val="6"/>
  </w:num>
  <w:num w:numId="3" w16cid:durableId="1458337472">
    <w:abstractNumId w:val="5"/>
  </w:num>
  <w:num w:numId="4" w16cid:durableId="1787431235">
    <w:abstractNumId w:val="4"/>
  </w:num>
  <w:num w:numId="5" w16cid:durableId="1868566597">
    <w:abstractNumId w:val="7"/>
  </w:num>
  <w:num w:numId="6" w16cid:durableId="1185286857">
    <w:abstractNumId w:val="3"/>
  </w:num>
  <w:num w:numId="7" w16cid:durableId="1777552397">
    <w:abstractNumId w:val="2"/>
  </w:num>
  <w:num w:numId="8" w16cid:durableId="756634616">
    <w:abstractNumId w:val="1"/>
  </w:num>
  <w:num w:numId="9" w16cid:durableId="7832336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55F"/>
    <w:rsid w:val="00034616"/>
    <w:rsid w:val="0006063C"/>
    <w:rsid w:val="0015074B"/>
    <w:rsid w:val="001E1A78"/>
    <w:rsid w:val="0029639D"/>
    <w:rsid w:val="002974BF"/>
    <w:rsid w:val="002F0F76"/>
    <w:rsid w:val="00326F90"/>
    <w:rsid w:val="0055283A"/>
    <w:rsid w:val="00683961"/>
    <w:rsid w:val="006B6519"/>
    <w:rsid w:val="007B491D"/>
    <w:rsid w:val="0082256A"/>
    <w:rsid w:val="00A9612E"/>
    <w:rsid w:val="00AA1D8D"/>
    <w:rsid w:val="00AB57E8"/>
    <w:rsid w:val="00AC7914"/>
    <w:rsid w:val="00B214EB"/>
    <w:rsid w:val="00B47730"/>
    <w:rsid w:val="00B65D74"/>
    <w:rsid w:val="00C02543"/>
    <w:rsid w:val="00C16810"/>
    <w:rsid w:val="00CB0664"/>
    <w:rsid w:val="00D54CF2"/>
    <w:rsid w:val="00D7409C"/>
    <w:rsid w:val="00E10FF7"/>
    <w:rsid w:val="00E25708"/>
    <w:rsid w:val="00E269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3DE0E0"/>
  <w14:defaultImageDpi w14:val="300"/>
  <w15:docId w15:val="{C1CE97FD-45D0-4DB2-828D-B79DCDC33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F0F76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mes142">
    <w:name w:val="Times14_РИО2"/>
    <w:basedOn w:val="a1"/>
    <w:link w:val="Times1420"/>
    <w:qFormat/>
    <w:rsid w:val="00C16810"/>
    <w:pPr>
      <w:tabs>
        <w:tab w:val="left" w:pos="709"/>
      </w:tabs>
      <w:spacing w:after="0" w:line="312" w:lineRule="auto"/>
      <w:ind w:firstLine="709"/>
      <w:jc w:val="both"/>
    </w:pPr>
    <w:rPr>
      <w:rFonts w:eastAsia="Times New Roman" w:cs="Times New Roman"/>
      <w:sz w:val="28"/>
      <w:szCs w:val="24"/>
      <w:lang w:val="ru-RU" w:eastAsia="ru-RU"/>
    </w:rPr>
  </w:style>
  <w:style w:type="character" w:customStyle="1" w:styleId="Times1420">
    <w:name w:val="Times14_РИО2 Знак"/>
    <w:link w:val="Times142"/>
    <w:rsid w:val="00C16810"/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styleId="aff8">
    <w:name w:val="Normal (Web)"/>
    <w:basedOn w:val="a1"/>
    <w:uiPriority w:val="99"/>
    <w:unhideWhenUsed/>
    <w:rsid w:val="00B214EB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2528</Words>
  <Characters>14411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 Hanna</dc:creator>
  <cp:keywords/>
  <dc:description>Created by Mina Hanna</dc:description>
  <cp:lastModifiedBy>Alexander</cp:lastModifiedBy>
  <cp:revision>2</cp:revision>
  <dcterms:created xsi:type="dcterms:W3CDTF">2026-04-03T09:55:00Z</dcterms:created>
  <dcterms:modified xsi:type="dcterms:W3CDTF">2026-04-03T09:55:00Z</dcterms:modified>
  <cp:category/>
</cp:coreProperties>
</file>