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智慧园区访客管理系统建设项目招标文件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  <w:t>项目编号 E2E ACCEPT 20260909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  <w:t>采购人 某市产业园区运营中心</w:t>
      </w:r>
    </w:p>
    <w:p>
      <w:pPr>
        <w:pStyle w:val="Heading1"/>
      </w:pPr>
      <w:r>
        <w:t>投标人须知前附表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本项目采用公开招标方式，投标人应按本文件编制技术响应文件。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投标文件组成包括技术响应、实施方案、服务方案、资格证明材料和报价文件。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资格条件：投标人应为依法登记的独立法人，并按要求提交合法有效的主体资格证明。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投标文件应由授权代表签字盖章；缺少依法要求的签字盖章可按无效投标处理。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投标人提供虚假材料、实质性偏离采购需求或拒绝接受必要澄清的，评标委员会可以作出否决处理。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服务期限和项目实施周期以本文件及合同约定为准。</w:t>
      </w:r>
    </w:p>
    <w:p>
      <w:pPr>
        <w:pStyle w:val="Heading1"/>
      </w:pPr>
      <w:r>
        <w:t>采购需求一览表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采购内容：智慧园区访客管理系统一套。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部署地点：采购人指定的三个园区服务点。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采购数量：一项。</w:t>
      </w:r>
    </w:p>
    <w:p>
      <w:pPr>
        <w:pStyle w:val="Heading1"/>
      </w:pPr>
      <w:r>
        <w:t>一 项目概况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采购人拟建设一套智慧园区访客管理系统，覆盖园区东门、南门和综合服务中心。系统应支持访客预约、身份核验、二维码通行、来访记录查询、异常事件告警和管理统计。</w:t>
      </w:r>
    </w:p>
    <w:p>
      <w:pPr>
        <w:pStyle w:val="Heading1"/>
      </w:pPr>
      <w:r>
        <w:t>二 建设范围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提供访客预约管理平台一套，包括管理端和移动端访问入口。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完成三个出入口的软硬件接口对接、安装调试和试运行支持。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完成管理员培训、用户手册、部署手册、测试报告和验收资料编制。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项目实施周期为合同生效后 60 个自然日。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免费质量保证期为项目验收合格后 24 个月。</w:t>
      </w:r>
    </w:p>
    <w:p>
      <w:pPr>
        <w:pStyle w:val="Heading1"/>
      </w:pPr>
      <w:r>
        <w:t>三 技术要求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访客预约应记录来访人、被访人、来访时间、访问区域和审批状态。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身份核验结果应可追溯；敏感身份信息应加密存储，传输过程应采用 TLS。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系统应按角色控制权限，并记录登录、配置变更、审批和异常处置审计日志。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核心业务可用性不低于 99.5%，常用查询在正常负载下平均响应时间不超过 2 秒。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应提供数据备份与恢复方案，明确每日增量备份、每周全量备份和恢复演练机制。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系统不得默认启用人脸识别。是否启用人脸识别能力由采购人在实施阶段另行书面确认；未确认前应保持关闭。</w:t>
      </w:r>
    </w:p>
    <w:p>
      <w:pPr>
        <w:pStyle w:val="Heading1"/>
      </w:pPr>
      <w:r>
        <w:t>四 项目实施与服务要求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投标人应提交需求调研、总体设计、接口设计、部署实施、测试验收和运维保障方案。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投标人应明确项目经理及实施团队，但本招标文件不预设投标人的人员姓名。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投标人应建立风险台账、问题闭环和变更控制机制。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发生严重故障后，投标人应在 30 分钟内响应，并在 2 小时内提供处置方案。</w:t>
      </w:r>
    </w:p>
    <w:p>
      <w:pPr>
        <w:pStyle w:val="Heading1"/>
      </w:pPr>
      <w:r>
        <w:t>五 证明材料要求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投标人如声称具备信息安全管理体系认证，应在投标文件中提供当前有效证书扫描件；未提供或未经核验的，不得描述为已经具备或已经通过认证。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类似项目业绩须提供合同关键页或验收证明；未提供材料时不得虚构项目名称、客户名称、合同金额或验收结论。</w:t>
      </w:r>
    </w:p>
    <w:p>
      <w:pPr>
        <w:pStyle w:val="Heading1"/>
      </w:pPr>
      <w:r>
        <w:t>六 技术评分办法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技术评分标准（本项目采用智慧园区系统技术评分）。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>智慧园区系统技术评分：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87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评分项</w:t>
            </w:r>
          </w:p>
        </w:tc>
        <w:tc>
          <w:tcPr>
            <w:tcW w:type="dxa" w:w="93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504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评分标准</w:t>
            </w:r>
          </w:p>
        </w:tc>
        <w:tc>
          <w:tcPr>
            <w:tcW w:type="dxa" w:w="1944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证明材料要求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总体技术方案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架构完整、流程清晰且与采购需求匹配得 16 至 20 分；内容一般得 8 至 15 分；明显缺项得 0 至 7 分。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技术方案正文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实施与进度计划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阶段划分、里程碑、人员职责和风险控制完整得 12 至 15 分；存在缺项得 0 至 11 分。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实施计划及职责说明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数据安全方案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覆盖身份鉴别、权限、加密、日志、备份恢复和隐私保护得 12 至 15 分；覆盖不完整得 0 至 11 分。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数据安全方案正文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运维服务方案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服务组织、响应时限、故障处置和质保安排完整得 8 至 10 分；存在缺项得 0 至 7 分。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运维服务方案正文</w:t>
            </w:r>
          </w:p>
        </w:tc>
      </w:tr>
      <w:t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培训与验收方案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培训对象、内容、计划、成果物和验收方法完整得 8 至 10 分；存在缺项得 0 至 7 分。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培训及验收方案正文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2"/>
        </w:rPr>
        <w:t>商务评分标准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12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656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评审要素</w:t>
            </w:r>
          </w:p>
        </w:tc>
        <w:tc>
          <w:tcPr>
            <w:tcW w:type="dxa" w:w="4320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评审内容</w:t>
            </w:r>
          </w:p>
        </w:tc>
        <w:tc>
          <w:tcPr>
            <w:tcW w:type="dxa" w:w="100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最低分</w:t>
            </w:r>
          </w:p>
        </w:tc>
        <w:tc>
          <w:tcPr>
            <w:tcW w:type="dxa" w:w="100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最高分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企业基本情况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主体资格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提供合法有效的主体资格证明得 10 分，未提供得 0 分。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2"/>
        </w:rPr>
        <w:t>报价评分办法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0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报价评分标准</w:t>
            </w:r>
          </w:p>
        </w:tc>
      </w:tr>
      <w:tr>
        <w:tc>
          <w:tcPr>
            <w:tcW w:type="dxa" w:w="9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最低评标价法</w:t>
              <w:br/>
              <w:t>计算基准价：满足招标文件要求且评标价最低的有效投标报价为评标基准价。</w:t>
              <w:br/>
              <w:t>计算价格部分得分：价格部分得分=评标基准价/投标人的评标价×100。</w:t>
              <w:br/>
              <w:t>价格部分满分为20分，最终价格得分=价格部分得分×20%。</w:t>
            </w:r>
          </w:p>
        </w:tc>
      </w:tr>
    </w:tbl>
    <w:p>
      <w:r>
        <w:rPr>
          <w:rFonts w:ascii="Microsoft YaHei" w:hAnsi="Microsoft YaHei" w:eastAsia="Microsoft YaHei"/>
          <w:b/>
          <w:color w:val="000000"/>
          <w:sz w:val="22"/>
        </w:rPr>
        <w:t>分值权重构成 商务部分：10% 技术部分：70% 投标报价：20%</w:t>
      </w:r>
    </w:p>
    <w:p>
      <w:pPr>
        <w:pStyle w:val="Heading1"/>
      </w:pPr>
      <w:r>
        <w:t>七 投标文件编制要求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技术响应文件应逐项响应本招标文件要求，章节层级清晰，不得以未经确认的信息替代待确认字段，不得将未核验证明材料描述为已验证事实。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