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实施部署方案"/>
    <w:p>
      <w:pPr>
        <w:pStyle w:val="10"/>
      </w:pPr>
      <w:r>
        <w:rPr>
          <w:rFonts w:hint="eastAsia"/>
        </w:rPr>
        <w:t xml:space="preserve">实施部署方案</w:t>
      </w:r>
    </w:p>
    <w:bookmarkStart w:id="18" w:name="实施总体规划"/>
    <w:p>
      <w:pPr>
        <w:pStyle w:val="2"/>
      </w:pPr>
      <w:r>
        <w:rPr>
          <w:rFonts w:hint="eastAsia"/>
        </w:rPr>
        <w:t xml:space="preserve">实施总体规划</w:t>
      </w:r>
    </w:p>
    <w:p>
      <w:pPr>
        <w:pStyle w:val="FirstParagraph"/>
      </w:pPr>
      <w:r>
        <w:rPr>
          <w:rFonts w:hint="eastAsia"/>
        </w:rPr>
        <w:t xml:space="preserve">本章节围绕本项目实施部署全过程进行统筹规划，覆盖项目建设技术方案、设计实施周期、组织架构、人员投入、安装部署、测试试运行、质量控制、验收交付及风险应急等内容，形成可审查、可落地、可追溯的实施路径。项目实施对象包含超融合系统、超融合互联交换机、超融合节点等建设内容，实施全过程遵循采购合同、采购文件要求以及采购人现场管理制度，以“先勘察确认、后到货实施；先环境核验、后设备上线；先测试验证、后验收交付”为基本原则，统筹安排供货、安装、调试、联测、培训和验收工作。</w:t>
      </w:r>
    </w:p>
    <w:p>
      <w:pPr>
        <w:pStyle w:val="a0"/>
      </w:pPr>
      <w:r>
        <w:rPr>
          <w:rFonts w:hint="eastAsia"/>
        </w:rPr>
        <w:t xml:space="preserve">总体实施划分为八个阶段：（1）项目启动与深化设计阶段：完成合同交底、项目启动会、现场勘察、实施方案细化、实施计划确认、风险与变更沟通机制建立；（2）供货准备阶段：根据合同约定组织备货、出厂检验、物流发运及到货预约；（3）到货核验阶段：在采购人指定地点完成包装、数量、型号、外观、随机资料及附件的点验；（4）安装部署阶段：完成机柜、电源、网络端口、线缆等现场条件复核后，进行设备上架、上电、初始化、超融合互联交换机配置、超融合节点接入与基础资源部署；（5）联调测试阶段：完成网络连通、管理功能、基础资源可用性、关键配置复核及与现场环境的联调验证；（6）试运行阶段：在采购人确认的观察窗口内开展稳定性观察、问题记录与闭环整改；（7）验收交付阶段：提交验收资料，配合采购人完成验收环节，签署验收文件并完成资料移交；（8）质保与售后衔接阶段：建立项目档案，移交运维支持接口，保障后续服务连续性。</w:t>
      </w:r>
    </w:p>
    <w:p>
      <w:pPr>
        <w:pStyle w:val="a0"/>
      </w:pPr>
      <w:r>
        <w:rPr>
          <w:rFonts w:hint="eastAsia"/>
        </w:rPr>
        <w:t xml:space="preserve">鉴于本项目最终交货承诺、实际安装完成周期、项目负责人及团队配置需经投标确认，本节中涉及具体日历天数、人员姓名和投入强度的内容以【待人工确认：最终交货承诺/实际安装周期/实际实施人员安排】为准。实施过程中如遇采购人现场条件、业务窗口、设备机房准入或合同特殊条款调整，我方将按项目变更流程与采购人协商确认后执行，不擅自改变交付边界和关键节点。类似项目实施经验的引用需在确认企业材料后补充，当前保留【待补充企业材料：可引用的类似项目实施案例及证明索引】。</w:t>
      </w:r>
    </w:p>
    <w:bookmarkEnd w:id="18"/>
    <w:bookmarkStart w:id="19" w:name="项目建设技术方案"/>
    <w:p>
      <w:pPr>
        <w:pStyle w:val="2"/>
      </w:pPr>
      <w:r>
        <w:rPr>
          <w:rFonts w:hint="eastAsia"/>
        </w:rPr>
        <w:t xml:space="preserve">项目建设技术方案</w:t>
      </w:r>
    </w:p>
    <w:p>
      <w:pPr>
        <w:pStyle w:val="FirstParagraph"/>
      </w:pPr>
      <w:r>
        <w:rPr>
          <w:rFonts w:hint="eastAsia"/>
        </w:rPr>
        <w:t xml:space="preserve">项目建设技术方案以满足采购人业务部署需要和现场实施安全可控为目标，围绕超融合系统、超融合互联交换机、超融合节点的到货、安装、配置、联调和交付过程进行设计。方案不引入未经确认的产品简称、品牌简称或技术别名，具体品牌型号、配置参数和版本以投标技术应答及合同确认内容为准。</w:t>
      </w:r>
    </w:p>
    <w:p>
      <w:pPr>
        <w:numPr>
          <w:ilvl w:val="0"/>
          <w:numId w:val="1001"/>
        </w:numPr>
      </w:pPr>
      <w:r>
        <w:rPr>
          <w:rFonts w:hint="eastAsia"/>
        </w:rPr>
        <w:t xml:space="preserve">项目启动与技术交底。合同签订后，项目组将组织内部技术交底和项目启动准备，梳理采购范围、交付边界、现场联系人、实施窗口、机房管理要求、安全保密要求和验收口径；同步完成《项目实施计划》《现场实施方案》《测试验收计划》等文档编制，必要时提交采购人确认。</w:t>
      </w:r>
    </w:p>
    <w:p>
      <w:pPr>
        <w:numPr>
          <w:ilvl w:val="0"/>
          <w:numId w:val="1001"/>
        </w:numPr>
      </w:pPr>
      <w:r>
        <w:rPr>
          <w:rFonts w:hint="eastAsia"/>
        </w:rPr>
        <w:t xml:space="preserve">现场勘察与实施条件确认。在设备到货前，安排实施人员对采购人现场进行勘察，重点核对机柜空间、承重、供电路数、PDU接口、网络布线、上行端口、VLAN/IP地址规划、管理网段、机房温湿度、设备搬运通道、作业时间窗口及标签规范等条件，形成现场条件核查记录；对不满足实施条件的事项提前提出整改建议。</w:t>
      </w:r>
    </w:p>
    <w:p>
      <w:pPr>
        <w:numPr>
          <w:ilvl w:val="0"/>
          <w:numId w:val="1001"/>
        </w:numPr>
      </w:pPr>
      <w:r>
        <w:rPr>
          <w:rFonts w:hint="eastAsia"/>
        </w:rPr>
        <w:t xml:space="preserve">到货检验与资产核对。设备送达采购人指定地点后，会同采购人按到货清单进行开箱核验，检查外包装完整性、设备外观、序列号、数量、配件、合格证、随机资料等，形成到货检验记录；如发现运输损伤、数量短缺或资料不全，按流程及时协调处理。</w:t>
      </w:r>
    </w:p>
    <w:p>
      <w:pPr>
        <w:numPr>
          <w:ilvl w:val="0"/>
          <w:numId w:val="1001"/>
        </w:numPr>
      </w:pPr>
      <w:r>
        <w:rPr>
          <w:rFonts w:hint="eastAsia"/>
        </w:rPr>
        <w:t xml:space="preserve">安装部署与物理连接。根据经确认的机柜布置图完成设备上架、固定、标签粘贴、电源接入和接地检查；按照网络规划完成超融合互联交换机与超融合节点之间的线缆连接、上行链路连接及管理口连接，确保线缆路由规范、标签清晰、连接牢固。</w:t>
      </w:r>
    </w:p>
    <w:p>
      <w:pPr>
        <w:numPr>
          <w:ilvl w:val="0"/>
          <w:numId w:val="1001"/>
        </w:numPr>
      </w:pPr>
      <w:r>
        <w:rPr>
          <w:rFonts w:hint="eastAsia"/>
        </w:rPr>
        <w:t xml:space="preserve">系统初始化与基础配置。在设备上电自检通过后，按实施配置单完成设备管理地址、账号权限、时间同步、日志、告警等基础配置；完成超融合节点初始化、超融合互联交换机基础网络配置及必要的互联参数设置，并对关键配置进行双人复核。</w:t>
      </w:r>
    </w:p>
    <w:p>
      <w:pPr>
        <w:numPr>
          <w:ilvl w:val="0"/>
          <w:numId w:val="1001"/>
        </w:numPr>
      </w:pPr>
      <w:r>
        <w:rPr>
          <w:rFonts w:hint="eastAsia"/>
        </w:rPr>
        <w:t xml:space="preserve">联调验证与功能确认。围绕设备连通性、管理可达性、资源识别、网络互通、基础服务可用性等内容开展联调，逐项记录验证结果；涉及采购人现有环境配合的事项，按采购人批准的变更窗口实施，避免对现有业务造成影响。</w:t>
      </w:r>
    </w:p>
    <w:p>
      <w:pPr>
        <w:numPr>
          <w:ilvl w:val="0"/>
          <w:numId w:val="1001"/>
        </w:numPr>
      </w:pPr>
      <w:r>
        <w:rPr>
          <w:rFonts w:hint="eastAsia"/>
        </w:rPr>
        <w:t xml:space="preserve">资料同步与培训准备。在联调过程中同步整理实施记录、配置清单、拓扑说明、账号权限清单和操作注意事项，为后续测试、试运行、验收和运维交接提供依据；培训对象、时间和方式结合采购人要求另行确认。</w:t>
      </w:r>
    </w:p>
    <w:p>
      <w:pPr>
        <w:numPr>
          <w:ilvl w:val="0"/>
          <w:numId w:val="1001"/>
        </w:numPr>
      </w:pPr>
      <w:r>
        <w:rPr>
          <w:rFonts w:hint="eastAsia"/>
        </w:rPr>
        <w:t xml:space="preserve">问题整改与阶段移交。对安装部署过程中发现的配置问题、兼容性问题、资料问题或环境问题形成问题清单，明确责任人和关闭时限；阶段成果经采购人确认后进入下一环节。具体实施人员安排和实施经验材料待补充确认，不将候选简历或候选资质自动作为本项目最终团队和业绩证明。</w:t>
      </w:r>
    </w:p>
    <w:bookmarkEnd w:id="19"/>
    <w:bookmarkStart w:id="20" w:name="项目设计实施周期"/>
    <w:p>
      <w:pPr>
        <w:pStyle w:val="2"/>
      </w:pPr>
      <w:r>
        <w:rPr>
          <w:rFonts w:hint="eastAsia"/>
        </w:rPr>
        <w:t xml:space="preserve">项目设计实施周期</w:t>
      </w:r>
    </w:p>
    <w:p>
      <w:pPr>
        <w:pStyle w:val="FirstParagraph"/>
      </w:pPr>
      <w:r>
        <w:rPr>
          <w:rFonts w:hint="eastAsia"/>
        </w:rPr>
        <w:t xml:space="preserve">项目设计实施周期依据招标文件交货和安装要求进行响应规划，并结合采购人现场条件、合同签订时间、设备供货周期和实施窗口统筹安排。招标文件提出：交货期项下要求“货到时间：自签订合同之日起30日内（特殊情况以合同为准）”，并要求“安装完成：货到之日起10日内（特殊情况以合同为准）”。上述内容为采购需求边界，不作为我方最终承诺值的直接替代。我方最终承诺到货时间、安装完成时间及是否提供更优周期，以【待人工确认：最终交货承诺】和【待人工确认：实际安装周期】为准。</w:t>
      </w:r>
    </w:p>
    <w:p>
      <w:pPr>
        <w:pStyle w:val="a0"/>
      </w:pPr>
      <w:r>
        <w:rPr>
          <w:rFonts w:hint="eastAsia"/>
        </w:rPr>
        <w:t xml:space="preserve">为确保周期可控，项目计划按以下阶段进行管理（具体日期和工期天数待合同及项目计划确认后填写）：</w:t>
      </w:r>
    </w:p>
    <w:p>
      <w:pPr>
        <w:numPr>
          <w:ilvl w:val="0"/>
          <w:numId w:val="1002"/>
        </w:numPr>
      </w:pPr>
      <w:r>
        <w:rPr>
          <w:rFonts w:hint="eastAsia"/>
        </w:rPr>
        <w:t xml:space="preserve">合同与启动阶段：完成合同生效、项目启动会、双方接口人确认、项目管理制度建立；输出项目实施计划、沟通机制和首批资料清单。</w:t>
      </w:r>
    </w:p>
    <w:p>
      <w:pPr>
        <w:numPr>
          <w:ilvl w:val="0"/>
          <w:numId w:val="1002"/>
        </w:numPr>
      </w:pPr>
      <w:r>
        <w:rPr>
          <w:rFonts w:hint="eastAsia"/>
        </w:rPr>
        <w:t xml:space="preserve">深化设计与实施准备阶段：完成现场勘察、网络与机柜规划确认、实施方案评审、到货计划预约、施工窗口协调、安全保密告知；如现场条件不满足，提前提出整改要求。</w:t>
      </w:r>
    </w:p>
    <w:p>
      <w:pPr>
        <w:numPr>
          <w:ilvl w:val="0"/>
          <w:numId w:val="1002"/>
        </w:numPr>
      </w:pPr>
      <w:r>
        <w:rPr>
          <w:rFonts w:hint="eastAsia"/>
        </w:rPr>
        <w:t xml:space="preserve">供货与物流阶段：按确认订单组织生产/备货、出厂检验、包装发运、在途跟踪和到货预约；如合同存在特殊供货安排，以合同约定为准。</w:t>
      </w:r>
    </w:p>
    <w:p>
      <w:pPr>
        <w:numPr>
          <w:ilvl w:val="0"/>
          <w:numId w:val="1002"/>
        </w:numPr>
      </w:pPr>
      <w:r>
        <w:rPr>
          <w:rFonts w:hint="eastAsia"/>
        </w:rPr>
        <w:t xml:space="preserve">到货验收阶段：设备抵达采购人指定地点后，完成开箱点验、外观检查、数量核对、随机资料核验和到货签收。</w:t>
      </w:r>
    </w:p>
    <w:p>
      <w:pPr>
        <w:numPr>
          <w:ilvl w:val="0"/>
          <w:numId w:val="1002"/>
        </w:numPr>
      </w:pPr>
      <w:r>
        <w:rPr>
          <w:rFonts w:hint="eastAsia"/>
        </w:rPr>
        <w:t xml:space="preserve">安装部署阶段：在具备安装条件后完成上架、上电、布线、初始化、超融合互联交换机和超融合节点配置、基础联调；安装完成口径以合同约定为准，原则上包括设备安装就位并完成基本调试达到进入测试条件。</w:t>
      </w:r>
    </w:p>
    <w:p>
      <w:pPr>
        <w:numPr>
          <w:ilvl w:val="0"/>
          <w:numId w:val="1002"/>
        </w:numPr>
      </w:pPr>
      <w:r>
        <w:rPr>
          <w:rFonts w:hint="eastAsia"/>
        </w:rPr>
        <w:t xml:space="preserve">测试与试运行阶段：完成安装调试检验、功能验证、稳定性观察和问题整改，为正式验收创造条件。</w:t>
      </w:r>
    </w:p>
    <w:p>
      <w:pPr>
        <w:numPr>
          <w:ilvl w:val="0"/>
          <w:numId w:val="1002"/>
        </w:numPr>
      </w:pPr>
      <w:r>
        <w:rPr>
          <w:rFonts w:hint="eastAsia"/>
        </w:rPr>
        <w:t xml:space="preserve">验收交付阶段：整理验收资料，配合采购人组织验收，签署验收文件并完成成果移交。</w:t>
      </w:r>
    </w:p>
    <w:p>
      <w:pPr>
        <w:pStyle w:val="FirstParagraph"/>
      </w:pPr>
      <w:r>
        <w:rPr>
          <w:rFonts w:hint="eastAsia"/>
        </w:rPr>
        <w:t xml:space="preserve">实施进度管理采用里程碑评审、周计划/日报跟踪、问题清单闭环和关键节点预警机制。因采购人现场条件、不可抗力、合同特殊约定或采购人提出变更导致工期调整时，按项目变更程序书面确认。项目具体甘特图、每阶段投入人天、详细里程碑日期在项目负责人和人员投入计划确认后补充，当前以【待人工确认：项目负责人/项目团队成员/实际实施人员安排】为前置条件。</w:t>
      </w:r>
    </w:p>
    <w:bookmarkEnd w:id="20"/>
    <w:bookmarkStart w:id="21" w:name="项目组织架构"/>
    <w:p>
      <w:pPr>
        <w:pStyle w:val="2"/>
      </w:pPr>
      <w:r>
        <w:rPr>
          <w:rFonts w:hint="eastAsia"/>
        </w:rPr>
        <w:t xml:space="preserve">项目组织架构</w:t>
      </w:r>
    </w:p>
    <w:p>
      <w:pPr>
        <w:pStyle w:val="FirstParagraph"/>
      </w:pPr>
      <w:r>
        <w:rPr>
          <w:rFonts w:hint="eastAsia"/>
        </w:rPr>
        <w:t xml:space="preserve">为保障实施工作统一指挥、分工明确、接口清晰，项目拟建立“项目决策层—项目管理层—专业执行层—质量与支持层”四级组织架构。最终人员名单、岗位职责、联系方式、驻场安排和证书信息以【待人工确认：项目负责人/项目团队成员/实际实施人员安排】及【待补充企业材料：拟派人员简历、证书及授权文件】为准，本节先明确组织运行机制和岗位设置逻辑。</w:t>
      </w:r>
    </w:p>
    <w:p>
      <w:pPr>
        <w:numPr>
          <w:ilvl w:val="0"/>
          <w:numId w:val="1003"/>
        </w:numPr>
      </w:pPr>
      <w:r>
        <w:rPr>
          <w:rFonts w:hint="eastAsia"/>
        </w:rPr>
        <w:t xml:space="preserve">项目决策层。由双方项目主管领导或授权负责人组成，负责重大事项协调、关键资源调度、重大变更审批、跨部门问题决策及验收阶段总体协调。</w:t>
      </w:r>
    </w:p>
    <w:p>
      <w:pPr>
        <w:numPr>
          <w:ilvl w:val="0"/>
          <w:numId w:val="1003"/>
        </w:numPr>
      </w:pPr>
      <w:r>
        <w:rPr>
          <w:rFonts w:hint="eastAsia"/>
        </w:rPr>
        <w:t xml:space="preserve">项目管理层。设项目经理1名，作为我方对本项目实施的第一责任人，负责计划编制、进度控制、资源协调、风险管理、问题升级、对内对外沟通、阶段成果提交和验收组织。项目经理负责组织召开项目例会，跟踪问题闭环，确保实施活动按批准方案执行。</w:t>
      </w:r>
    </w:p>
    <w:p>
      <w:pPr>
        <w:numPr>
          <w:ilvl w:val="0"/>
          <w:numId w:val="1003"/>
        </w:numPr>
      </w:pPr>
      <w:r>
        <w:rPr>
          <w:rFonts w:hint="eastAsia"/>
        </w:rPr>
        <w:t xml:space="preserve">专业执行层。根据实施阶段配置技术负责人、实施工程师、网络/系统工程师、设备部署工程师等岗位，负责现场勘察、安装上架、设备初始化、超融合互联交换机配置、超融合节点接入、联调测试、文档编制、培训配合等具体工作。驻场/远程支持比例及到场时间根据实施窗口由项目经理统一安排。</w:t>
      </w:r>
    </w:p>
    <w:p>
      <w:pPr>
        <w:numPr>
          <w:ilvl w:val="0"/>
          <w:numId w:val="1003"/>
        </w:numPr>
      </w:pPr>
      <w:r>
        <w:rPr>
          <w:rFonts w:hint="eastAsia"/>
        </w:rPr>
        <w:t xml:space="preserve">质量与支持层。配置质量/测试人员、安全保密协调人员、售后与应急支持人员，负责质量检查、测试记录复核、配置基线核查、问题缺陷管理、安全保密要求落实、应急响应及售后衔接。必要时协调厂商技术资源参与重大问题处置。</w:t>
      </w:r>
    </w:p>
    <w:p>
      <w:pPr>
        <w:pStyle w:val="FirstParagraph"/>
      </w:pPr>
      <w:r>
        <w:rPr>
          <w:rFonts w:hint="eastAsia"/>
        </w:rPr>
        <w:t xml:space="preserve">项目沟通机制包括：项目启动会明确目标、接口、计划和纪律；周例会汇报进度、风险、问题和下周安排；现场日报反馈当日工作内容、完成情况、次日计划及需协调事项；重要变更、重大故障和验收节点采用书面确认。人员变动须提前告知采购人并保证工作交接完整，未经确认不得擅自更换项目负责人和关键岗位人员。</w:t>
      </w:r>
    </w:p>
    <w:p>
      <w:pPr>
        <w:pStyle w:val="a0"/>
      </w:pPr>
      <w:r>
        <w:rPr>
          <w:rFonts w:hint="eastAsia"/>
        </w:rPr>
        <w:t xml:space="preserve">由于本地材料检索仅返回未选定的人员简历、公司资质等候选材料，未形成经确认的项目团队配置，当前不得将任何候选人员直接列为已派任人员；团队最终组织架构图及人员简历索引待人工确认后补齐。</w:t>
      </w:r>
    </w:p>
    <w:bookmarkEnd w:id="21"/>
    <w:bookmarkStart w:id="22" w:name="项目负责人及主要人员"/>
    <w:p>
      <w:pPr>
        <w:pStyle w:val="2"/>
      </w:pPr>
      <w:r>
        <w:rPr>
          <w:rFonts w:hint="eastAsia"/>
        </w:rPr>
        <w:t xml:space="preserve">项目负责人及主要人员</w:t>
      </w:r>
    </w:p>
    <w:p>
      <w:pPr>
        <w:pStyle w:val="FirstParagraph"/>
      </w:pPr>
      <w:r>
        <w:rPr>
          <w:rFonts w:hint="eastAsia"/>
        </w:rPr>
        <w:t xml:space="preserve">项目负责人及主要人员是保障项目按期、按质、安全实施的关键。项目负责人（项目经理）拟全面负责项目实施全过程管理，主要人员按实施、技术、质量、支持等职能进行配置。最终拟任人选、人员数量、证书、履历、投入时长及驻场安排须以经确认的项目团队信息为准，当前不得从候选简历中直接选定。</w:t>
      </w:r>
    </w:p>
    <w:p>
      <w:pPr>
        <w:numPr>
          <w:ilvl w:val="0"/>
          <w:numId w:val="1004"/>
        </w:numPr>
      </w:pPr>
      <w:r>
        <w:rPr>
          <w:rFonts w:hint="eastAsia"/>
        </w:rPr>
        <w:t xml:space="preserve">项目负责人职责。（1）负责项目总体策划、实施计划制定与动态调整；（2）作为与采购人的主要接口，组织协调供货、到货、安装、测试、验收和交付事项；（3）负责项目团队任务分配、进度监督、质量和安全管理；（4）组织问题升级和重大事项汇报，对项目交付结果负责；（5）负责验收资料完整性审核，组织配合验收工作。项目负责人姓名、联系方式、证书、履历和授权文件：【待人工确认：项目负责人信息及证明材料】。</w:t>
      </w:r>
    </w:p>
    <w:p>
      <w:pPr>
        <w:numPr>
          <w:ilvl w:val="0"/>
          <w:numId w:val="1004"/>
        </w:numPr>
      </w:pPr>
      <w:r>
        <w:rPr>
          <w:rFonts w:hint="eastAsia"/>
        </w:rPr>
        <w:t xml:space="preserve">技术负责人职责。负责实施方案技术审核、关键配置方案把关、复杂问题技术决策、与厂商技术支持协同、关键参数复核和技术风险控制。技术负责人的专业方向、经历和证书：【待人工确认：项目团队成员信息及证明材料】。</w:t>
      </w:r>
    </w:p>
    <w:p>
      <w:pPr>
        <w:numPr>
          <w:ilvl w:val="0"/>
          <w:numId w:val="1004"/>
        </w:numPr>
      </w:pPr>
      <w:r>
        <w:rPr>
          <w:rFonts w:hint="eastAsia"/>
        </w:rPr>
        <w:t xml:space="preserve">现场实施工程师职责。负责现场勘察配合、设备到货点验、上架安装、线缆连接、上电检查、设备初始化、配置实施、联调验证、实施记录填写、问题上报和整改配合。实施工程师数量及分阶段到岗计划：【待人工确认：实际实施人员安排】。</w:t>
      </w:r>
    </w:p>
    <w:p>
      <w:pPr>
        <w:numPr>
          <w:ilvl w:val="0"/>
          <w:numId w:val="1004"/>
        </w:numPr>
      </w:pPr>
      <w:r>
        <w:rPr>
          <w:rFonts w:hint="eastAsia"/>
        </w:rPr>
        <w:t xml:space="preserve">质量/测试人员职责。负责测试方案执行、测试记录检查、缺陷登记与跟踪、配置基线核查、验收资料初审，确保测试和验收活动符合采购要求及内部质量管理要求。</w:t>
      </w:r>
    </w:p>
    <w:p>
      <w:pPr>
        <w:numPr>
          <w:ilvl w:val="0"/>
          <w:numId w:val="1004"/>
        </w:numPr>
      </w:pPr>
      <w:r>
        <w:rPr>
          <w:rFonts w:hint="eastAsia"/>
        </w:rPr>
        <w:t xml:space="preserve">售后/应急支持人员职责。负责试运行和验收后的技术支持衔接、应急响应、问题远程诊断和必要的现场支援，确保项目交付后支持通道畅通。</w:t>
      </w:r>
    </w:p>
    <w:p>
      <w:pPr>
        <w:pStyle w:val="FirstParagraph"/>
      </w:pPr>
      <w:r>
        <w:rPr>
          <w:rFonts w:hint="eastAsia"/>
        </w:rPr>
        <w:t xml:space="preserve">项目人员管理坚持持证上岗、授权作业、保密承诺、变更审批原则。涉及机房作业、网络配置变更、设备上电、重要参数调整等高风险操作，由项目经理审批并按采购人现场流程执行。当前本地检索到部分人员简历及公司资质类材料，但均为未确认候选，不作为本项目最终人员承诺；正式版本需补充【待补充企业材料：拟派项目负责人简历、职称/资格证书、类似项目经历证明；主要实施人员简历及证书】。</w:t>
      </w:r>
    </w:p>
    <w:bookmarkEnd w:id="22"/>
    <w:bookmarkStart w:id="23" w:name="安装部署"/>
    <w:p>
      <w:pPr>
        <w:pStyle w:val="2"/>
      </w:pPr>
      <w:r>
        <w:rPr>
          <w:rFonts w:hint="eastAsia"/>
        </w:rPr>
        <w:t xml:space="preserve">安装部署</w:t>
      </w:r>
    </w:p>
    <w:p>
      <w:pPr>
        <w:pStyle w:val="FirstParagraph"/>
      </w:pPr>
      <w:r>
        <w:rPr>
          <w:rFonts w:hint="eastAsia"/>
        </w:rPr>
        <w:t xml:space="preserve">安装部署工作在到货验收合格且现场环境满足要求后实施，目标是安全、规范、可追溯地完成超融合系统、超融合互联交换机、超融合节点等设备的物理安装、基础配置和上线准备，为联调测试和试运行奠定基础。最终安装完成时间以【待人工确认：实际安装周期】为准，本节不将“货到之日起10日内”直接表述为我方最终承诺。</w:t>
      </w:r>
    </w:p>
    <w:p>
      <w:pPr>
        <w:numPr>
          <w:ilvl w:val="0"/>
          <w:numId w:val="1005"/>
        </w:numPr>
      </w:pPr>
      <w:r>
        <w:rPr>
          <w:rFonts w:hint="eastAsia"/>
        </w:rPr>
        <w:t xml:space="preserve">安装前准备。实施人员依据实施方案核对设备清单、配置清单、拓扑图、IP/VLAN规划、端口规划和标签规则；提前确认机柜位置、电源容量、PDU插孔、网线/光纤、上行接口、作业时间和进出机房手续。对不满足安装条件的事项形成问题单并推动整改。</w:t>
      </w:r>
    </w:p>
    <w:p>
      <w:pPr>
        <w:numPr>
          <w:ilvl w:val="0"/>
          <w:numId w:val="1005"/>
        </w:numPr>
      </w:pPr>
      <w:r>
        <w:rPr>
          <w:rFonts w:hint="eastAsia"/>
        </w:rPr>
        <w:t xml:space="preserve">到货与安装条件复核。设备到货后，先完成外观、数量、配件和随机资料核验，再确认机房环境满足设备运行要求，包括温湿度、机柜承重、供电稳定性、接地、布线通道和消防/安防要求。</w:t>
      </w:r>
    </w:p>
    <w:p>
      <w:pPr>
        <w:numPr>
          <w:ilvl w:val="0"/>
          <w:numId w:val="1005"/>
        </w:numPr>
      </w:pPr>
      <w:r>
        <w:rPr>
          <w:rFonts w:hint="eastAsia"/>
        </w:rPr>
        <w:t xml:space="preserve">设备上架固定。按照经确认的机柜布置图进行设备上架，使用配套导轨和固定件，保证设备水平、固定可靠、前后通风空间满足要求；为设备、线缆、端口粘贴统一标签，标识设备名称、用途、连接关系等信息。</w:t>
      </w:r>
    </w:p>
    <w:p>
      <w:pPr>
        <w:numPr>
          <w:ilvl w:val="0"/>
          <w:numId w:val="1005"/>
        </w:numPr>
      </w:pPr>
      <w:r>
        <w:rPr>
          <w:rFonts w:hint="eastAsia"/>
        </w:rPr>
        <w:t xml:space="preserve">电源与线缆连接。按电源规划连接主备供电回路，核对电压、电流和电源冗余；根据网络拓扑连接超融合互联交换机与超融合节点之间的数据/管理链路、上行链路及必要的带外管理链路，线缆走线整齐、绑扎牢固，避免挤压和交叉干扰。</w:t>
      </w:r>
    </w:p>
    <w:p>
      <w:pPr>
        <w:numPr>
          <w:ilvl w:val="0"/>
          <w:numId w:val="1005"/>
        </w:numPr>
      </w:pPr>
      <w:r>
        <w:rPr>
          <w:rFonts w:hint="eastAsia"/>
        </w:rPr>
        <w:t xml:space="preserve">上电自检与基础检查。按规范顺序完成设备上电，观察指示灯、自检状态、风扇和告警信息；如有异常立即暂停后续操作，按故障处理流程排查并记录。</w:t>
      </w:r>
    </w:p>
    <w:p>
      <w:pPr>
        <w:numPr>
          <w:ilvl w:val="0"/>
          <w:numId w:val="1005"/>
        </w:numPr>
      </w:pPr>
      <w:r>
        <w:rPr>
          <w:rFonts w:hint="eastAsia"/>
        </w:rPr>
        <w:t xml:space="preserve">设备初始化配置。按配置实施单完成超融合互联交换机管理地址、端口、VLAN/互联参数、基础安全策略等配置；完成超融合节点管理地址、账号权限、时间同步、日志告警等初始化设置。关键配置执行“一人配置、一人复核”，并保存配置备份。</w:t>
      </w:r>
    </w:p>
    <w:p>
      <w:pPr>
        <w:numPr>
          <w:ilvl w:val="0"/>
          <w:numId w:val="1005"/>
        </w:numPr>
      </w:pPr>
      <w:r>
        <w:rPr>
          <w:rFonts w:hint="eastAsia"/>
        </w:rPr>
        <w:t xml:space="preserve">联调前检查。完成节点识别、网络互通、管理访问、链路状态、端口状态、版本信息等基础检查，确认设备具备进入联调测试条件。</w:t>
      </w:r>
    </w:p>
    <w:p>
      <w:pPr>
        <w:numPr>
          <w:ilvl w:val="0"/>
          <w:numId w:val="1005"/>
        </w:numPr>
      </w:pPr>
      <w:r>
        <w:rPr>
          <w:rFonts w:hint="eastAsia"/>
        </w:rPr>
        <w:t xml:space="preserve">安装记录与交付准备。形成设备上架记录、上电检查记录、线缆连接表、配置备份文件、配置变更记录和现场问题清单，由相关人员签字确认后归档。</w:t>
      </w:r>
    </w:p>
    <w:p>
      <w:pPr>
        <w:pStyle w:val="FirstParagraph"/>
      </w:pPr>
      <w:r>
        <w:rPr>
          <w:rFonts w:hint="eastAsia"/>
        </w:rPr>
        <w:t xml:space="preserve">安装过程中严格遵守采购人机房管理制度，落实静电防护、操作票证、现场清场和安全施工要求。若涉及夜间割接、业务窗口配合或与现有系统联调，提前提交作业申请和回退预案。是否配置现场备品备件及具体到货批次安排：【待人工确认：最终交货承诺/是否配置现场应急备件】。</w:t>
      </w:r>
    </w:p>
    <w:bookmarkEnd w:id="23"/>
    <w:bookmarkStart w:id="24" w:name="测试与试运行"/>
    <w:p>
      <w:pPr>
        <w:pStyle w:val="2"/>
      </w:pPr>
      <w:r>
        <w:rPr>
          <w:rFonts w:hint="eastAsia"/>
        </w:rPr>
        <w:t xml:space="preserve">测试与试运行</w:t>
      </w:r>
    </w:p>
    <w:p>
      <w:pPr>
        <w:pStyle w:val="FirstParagraph"/>
      </w:pPr>
      <w:r>
        <w:rPr>
          <w:rFonts w:hint="eastAsia"/>
        </w:rPr>
        <w:t xml:space="preserve">测试与试运行是验证设备安装质量、配置正确性和运行稳定性的重要环节。测试工作覆盖安装调试检验及必要的配套服务检验，试运行阶段对系统连续运行情况、告警情况、资源使用情况和问题处理情况进行观察，为正式验收提供依据。</w:t>
      </w:r>
    </w:p>
    <w:p>
      <w:pPr>
        <w:numPr>
          <w:ilvl w:val="0"/>
          <w:numId w:val="1006"/>
        </w:numPr>
      </w:pPr>
      <w:r>
        <w:rPr>
          <w:rFonts w:hint="eastAsia"/>
        </w:rPr>
        <w:t xml:space="preserve">测试准备。在安装部署完成后，由项目组编制/确认测试方案和测试用例，明确测试环境、测试范围、测试项、判定标准、参与人员、时间窗口、风险控制和回退措施。测试项通常包括：设备加电自检、端口/链路连通性、超融合互联交换机配置正确性、超融合节点管理可达性、基础资源识别、网络互通、告警日志、时间同步、账号权限、冗余切换（如适用）、关键功能可用性等。</w:t>
      </w:r>
    </w:p>
    <w:p>
      <w:pPr>
        <w:numPr>
          <w:ilvl w:val="0"/>
          <w:numId w:val="1006"/>
        </w:numPr>
      </w:pPr>
      <w:r>
        <w:rPr>
          <w:rFonts w:hint="eastAsia"/>
        </w:rPr>
        <w:t xml:space="preserve">测试实施。按照测试用例逐项执行，记录测试时间、测试结果、问题现象、处理措施和复测结果；对测试中发现的问题按严重等级分类管理，重大问题未关闭前不进入下一阶段。涉及采购人业务网络或现有环境的测试，须经采购人批准并在指定窗口内开展。</w:t>
      </w:r>
    </w:p>
    <w:p>
      <w:pPr>
        <w:numPr>
          <w:ilvl w:val="0"/>
          <w:numId w:val="1006"/>
        </w:numPr>
      </w:pPr>
      <w:r>
        <w:rPr>
          <w:rFonts w:hint="eastAsia"/>
        </w:rPr>
        <w:t xml:space="preserve">试运行安排。联调测试通过后进入试运行观察期，观察期长度、观察指标和记录要求以合同及采购人确认为准。试运行期间项目组对设备运行状态、告警信息、资源利用率、连接稳定性和用户反馈进行跟踪，必要时安排现场或远程值守。</w:t>
      </w:r>
    </w:p>
    <w:p>
      <w:pPr>
        <w:numPr>
          <w:ilvl w:val="0"/>
          <w:numId w:val="1006"/>
        </w:numPr>
      </w:pPr>
      <w:r>
        <w:rPr>
          <w:rFonts w:hint="eastAsia"/>
        </w:rPr>
        <w:t xml:space="preserve">问题整改与复测。试运行期间发现的问题纳入缺陷清单，明确责任人、整改措施和完成时限；整改完成后组织复测，并形成闭环记录。对影响试运行结论的重大问题，及时升级至项目管理层协调处置。</w:t>
      </w:r>
    </w:p>
    <w:p>
      <w:pPr>
        <w:numPr>
          <w:ilvl w:val="0"/>
          <w:numId w:val="1006"/>
        </w:numPr>
      </w:pPr>
      <w:r>
        <w:rPr>
          <w:rFonts w:hint="eastAsia"/>
        </w:rPr>
        <w:t xml:space="preserve">试运行输出。试运行结束后形成试运行报告或阶段总结，内容包括试运行时间范围、运行情况、问题统计、整改完成情况、遗留问题及处理建议、是否具备验收条件等。</w:t>
      </w:r>
    </w:p>
    <w:p>
      <w:pPr>
        <w:pStyle w:val="FirstParagraph"/>
      </w:pPr>
      <w:r>
        <w:rPr>
          <w:rFonts w:hint="eastAsia"/>
        </w:rPr>
        <w:t xml:space="preserve">测试与试运行依据采购合同约定及现行国家标准、行业标准、企业标准执行；具体标准编号如需在正式文件中引用，应在核验官方文本后补充，当前标注为【待核验外部来源：拟引用的国家/行业测试验收标准编号及适用性】。本地化质量管理制度和过往实施测试模板为后续完善材料方向，正式引用需补充【待补充企业材料：质量管理制度、测试模板、类似项目测试记录】。</w:t>
      </w:r>
    </w:p>
    <w:bookmarkEnd w:id="24"/>
    <w:bookmarkStart w:id="25" w:name="质量控制"/>
    <w:p>
      <w:pPr>
        <w:pStyle w:val="2"/>
      </w:pPr>
      <w:r>
        <w:rPr>
          <w:rFonts w:hint="eastAsia"/>
        </w:rPr>
        <w:t xml:space="preserve">质量控制</w:t>
      </w:r>
    </w:p>
    <w:p>
      <w:pPr>
        <w:pStyle w:val="FirstParagraph"/>
      </w:pPr>
      <w:r>
        <w:rPr>
          <w:rFonts w:hint="eastAsia"/>
        </w:rPr>
        <w:t xml:space="preserve">质量控制贯穿项目实施全过程，目标是保证交付成果符合采购文件、合同约定、技术方案及相关标准要求，确保实施活动规范、记录完整、问题可追溯。本章从组织、过程、记录和整改四个方面建立质量控制机制。</w:t>
      </w:r>
    </w:p>
    <w:p>
      <w:pPr>
        <w:numPr>
          <w:ilvl w:val="0"/>
          <w:numId w:val="1007"/>
        </w:numPr>
      </w:pPr>
      <w:r>
        <w:rPr>
          <w:rFonts w:hint="eastAsia"/>
        </w:rPr>
        <w:t xml:space="preserve">质量控制组织与责任。项目经理为项目质量第一责任人，质量/测试人员负责过程检查与记录复核，技术负责人负责关键技术方案和关键配置审核，各专业工程师对本岗位实施质量负责。质量控制点包括方案评审、到货检验、安装检查、配置复核、测试准入、问题关闭、验收资料审核等。</w:t>
      </w:r>
    </w:p>
    <w:p>
      <w:pPr>
        <w:numPr>
          <w:ilvl w:val="0"/>
          <w:numId w:val="1007"/>
        </w:numPr>
      </w:pPr>
      <w:r>
        <w:rPr>
          <w:rFonts w:hint="eastAsia"/>
        </w:rPr>
        <w:t xml:space="preserve">准备阶段质量控制。项目启动后对实施计划、实施方案、配置规划、测试验收计划进行内部评审，确保目标明确、范围清晰、风险有对策、实施步骤可执行；现场勘察结果形成书面记录，防止在环境条件不明确情况下盲目进场。</w:t>
      </w:r>
    </w:p>
    <w:p>
      <w:pPr>
        <w:numPr>
          <w:ilvl w:val="0"/>
          <w:numId w:val="1007"/>
        </w:numPr>
      </w:pPr>
      <w:r>
        <w:rPr>
          <w:rFonts w:hint="eastAsia"/>
        </w:rPr>
        <w:t xml:space="preserve">到货阶段质量控制。设备到场后严格执行开箱检验，核对装箱单、设备型号、序列号、配件、合格证、随机资料和外观状态；对运输损伤、缺件、错件、资料缺失等问题及时记录并启动处理流程，不将未通过到货检验的设备进入安装环节。</w:t>
      </w:r>
    </w:p>
    <w:p>
      <w:pPr>
        <w:numPr>
          <w:ilvl w:val="0"/>
          <w:numId w:val="1007"/>
        </w:numPr>
      </w:pPr>
      <w:r>
        <w:rPr>
          <w:rFonts w:hint="eastAsia"/>
        </w:rPr>
        <w:t xml:space="preserve">实施阶段质量控制。安装部署执行标准化作业，关键操作前进行技术交底和风险提示；设备上架、上电、布线、配置、联调均留存记录；关键配置实行双人复核、版本备份和变更审批；对不符合规范的线缆、标签、配置和操作及时纠正。</w:t>
      </w:r>
    </w:p>
    <w:p>
      <w:pPr>
        <w:numPr>
          <w:ilvl w:val="0"/>
          <w:numId w:val="1007"/>
        </w:numPr>
      </w:pPr>
      <w:r>
        <w:rPr>
          <w:rFonts w:hint="eastAsia"/>
        </w:rPr>
        <w:t xml:space="preserve">测试验收阶段质量控制。严格按照批准的测试用例开展测试，未经测试或测试未通过项不得擅自判定合格；缺陷问题按一般、重要、紧急等级分类管理，做到问题有记录、整改有措施、关闭有验证。验收资料按采购人要求整理齐全，确保数据真实、签字完整、版本一致。</w:t>
      </w:r>
    </w:p>
    <w:p>
      <w:pPr>
        <w:numPr>
          <w:ilvl w:val="0"/>
          <w:numId w:val="1007"/>
        </w:numPr>
      </w:pPr>
      <w:r>
        <w:rPr>
          <w:rFonts w:hint="eastAsia"/>
        </w:rPr>
        <w:t xml:space="preserve">文档与配置管理。建立项目文档清单，对实施方案、勘察记录、到货记录、配置表、测试记录、问题清单、培训记录、验收资料等统一版本管理；设备配置文件、版本信息和关键密码/账号信息按保密要求交付和保存。</w:t>
      </w:r>
    </w:p>
    <w:p>
      <w:pPr>
        <w:numPr>
          <w:ilvl w:val="0"/>
          <w:numId w:val="1007"/>
        </w:numPr>
      </w:pPr>
      <w:r>
        <w:rPr>
          <w:rFonts w:hint="eastAsia"/>
        </w:rPr>
        <w:t xml:space="preserve">持续改进与售后衔接。对项目实施中出现的典型问题进行复盘，形成经验反馈并转至售后支持团队，保障质保期服务连续性。</w:t>
      </w:r>
    </w:p>
    <w:p>
      <w:pPr>
        <w:pStyle w:val="FirstParagraph"/>
      </w:pPr>
      <w:r>
        <w:rPr>
          <w:rFonts w:hint="eastAsia"/>
        </w:rPr>
        <w:t xml:space="preserve">关于质量管理体系证明，本地检索到包含ISO</w:t>
      </w:r>
      <w:r>
        <w:t xml:space="preserve"> 9001、ISO 20000、ISO </w:t>
      </w:r>
      <w:r>
        <w:rPr>
          <w:rFonts w:hint="eastAsia"/>
        </w:rPr>
        <w:t xml:space="preserve">27001、ITSS等资质材料的候选文件，但该等材料未经本项目投标选用确认，不得直接作为本项目质量承诺的已确认证据；正式版本需补充【待补充企业材料：经确认可引用的质量管理体系证明及项目质量管理制度文件】。</w:t>
      </w:r>
    </w:p>
    <w:bookmarkEnd w:id="25"/>
    <w:bookmarkStart w:id="26" w:name="项目验收"/>
    <w:p>
      <w:pPr>
        <w:pStyle w:val="2"/>
      </w:pPr>
      <w:r>
        <w:rPr>
          <w:rFonts w:hint="eastAsia"/>
        </w:rPr>
        <w:t xml:space="preserve">项目验收</w:t>
      </w:r>
    </w:p>
    <w:p>
      <w:pPr>
        <w:pStyle w:val="FirstParagraph"/>
      </w:pPr>
      <w:r>
        <w:rPr>
          <w:rFonts w:hint="eastAsia"/>
        </w:rPr>
        <w:t xml:space="preserve">项目验收严格按照采购合同约定和现行国家标准、行业标准以及企业标准执行，对每一项技术、服务、安全标准的履约情况进行确认。根据采购文件要求，采购人有权根据需要设置出厂检验、到货检验、安装调试检验、配套服务检验等多重验收环节；必要时，采购人有权邀请参加本项目的其他投标人或者第三方机构参与验收，参与验收的投标人或者第三方机构的意见作为验收书的参考资料一并存档。验收结束后，应出具验收书，列明各项标准的验收情况及项目总体评价，由验收双方共同签署。</w:t>
      </w:r>
    </w:p>
    <w:p>
      <w:pPr>
        <w:pStyle w:val="a0"/>
      </w:pPr>
      <w:r>
        <w:rPr>
          <w:rFonts w:hint="eastAsia"/>
        </w:rPr>
        <w:t xml:space="preserve">针对上述要求，我方拟配合开展以下验收工作：</w:t>
      </w:r>
    </w:p>
    <w:p>
      <w:pPr>
        <w:numPr>
          <w:ilvl w:val="0"/>
          <w:numId w:val="1008"/>
        </w:numPr>
      </w:pPr>
      <w:r>
        <w:rPr>
          <w:rFonts w:hint="eastAsia"/>
        </w:rPr>
        <w:t xml:space="preserve">验收准备。在申请验收前完成安装部署、测试、试运行和问题整改，对交付物完整性进行自检，确保设备运行正常、资料齐全、问题闭环、配置文档与现场一致。</w:t>
      </w:r>
    </w:p>
    <w:p>
      <w:pPr>
        <w:numPr>
          <w:ilvl w:val="0"/>
          <w:numId w:val="1008"/>
        </w:numPr>
      </w:pPr>
      <w:r>
        <w:rPr>
          <w:rFonts w:hint="eastAsia"/>
        </w:rPr>
        <w:t xml:space="preserve">验收资料提交。根据采购人要求提交验收申请及相关资料，通常包括但不限于：到货验收记录、设备清单、随机资料、实施记录、配置文档、测试报告、试运行记录、问题整改闭环记录、培训记录（如有）、验收申请说明等。具体资料清单以采购人和合同要求为准。</w:t>
      </w:r>
    </w:p>
    <w:p>
      <w:pPr>
        <w:numPr>
          <w:ilvl w:val="0"/>
          <w:numId w:val="1008"/>
        </w:numPr>
      </w:pPr>
      <w:r>
        <w:rPr>
          <w:rFonts w:hint="eastAsia"/>
        </w:rPr>
        <w:t xml:space="preserve">配合多环节验收。根据采购人安排配合出厂检验资料核验、到货检验、安装调试检验和配套服务检验等工作，如实提供现场条件、设备状态、测试结果和说明材料；对验收中提出的问题及时整改并申请复验。</w:t>
      </w:r>
    </w:p>
    <w:p>
      <w:pPr>
        <w:numPr>
          <w:ilvl w:val="0"/>
          <w:numId w:val="1008"/>
        </w:numPr>
      </w:pPr>
      <w:r>
        <w:rPr>
          <w:rFonts w:hint="eastAsia"/>
        </w:rPr>
        <w:t xml:space="preserve">第三方参与配合。如采购人邀请其他投标人或第三方机构参与验收，我方按要求提供必要的现场配合、资料展示、问题说明和技术答疑，尊重第三方形成的参考意见并按采购人意见整改完善。</w:t>
      </w:r>
    </w:p>
    <w:p>
      <w:pPr>
        <w:numPr>
          <w:ilvl w:val="0"/>
          <w:numId w:val="1008"/>
        </w:numPr>
      </w:pPr>
      <w:r>
        <w:rPr>
          <w:rFonts w:hint="eastAsia"/>
        </w:rPr>
        <w:t xml:space="preserve">验收签署与移交。验收通过后，配合采购人出具验收书，列明各项标准验收情况和项目总体评价，按要求完成双方签署；同时完成项目文档、账号/密码、配置备份、随机资料和后续服务接口等交付移交。</w:t>
      </w:r>
    </w:p>
    <w:p>
      <w:pPr>
        <w:numPr>
          <w:ilvl w:val="0"/>
          <w:numId w:val="1008"/>
        </w:numPr>
      </w:pPr>
      <w:r>
        <w:rPr>
          <w:rFonts w:hint="eastAsia"/>
        </w:rPr>
        <w:t xml:space="preserve">验收不通过处理。如验收中发现存在未达到合同约定标准的事项，我方按要求制定整改计划，在采购人同意期限内完成整改并重新提请验收，不在未整改完成情况下强行要求签署验收文件。</w:t>
      </w:r>
    </w:p>
    <w:p>
      <w:pPr>
        <w:pStyle w:val="FirstParagraph"/>
      </w:pPr>
      <w:r>
        <w:rPr>
          <w:rFonts w:hint="eastAsia"/>
        </w:rPr>
        <w:t xml:space="preserve">本节依据采购文件TR-010条款编写，涉及具体验收表单模板、标准编号和见证安排，可在项目实施阶段根据采购人要求细化；如需引用具体国家标准/行业标准，应核验官方来源后补充，当前标注【待核验外部来源：项目验收拟采用的具体国家/行业标准名称、编号及适用性】。</w:t>
      </w:r>
    </w:p>
    <w:bookmarkEnd w:id="26"/>
    <w:bookmarkStart w:id="27" w:name="交付成果"/>
    <w:p>
      <w:pPr>
        <w:pStyle w:val="2"/>
      </w:pPr>
      <w:r>
        <w:rPr>
          <w:rFonts w:hint="eastAsia"/>
        </w:rPr>
        <w:t xml:space="preserve">交付成果</w:t>
      </w:r>
    </w:p>
    <w:p>
      <w:pPr>
        <w:pStyle w:val="FirstParagraph"/>
      </w:pPr>
      <w:r>
        <w:rPr>
          <w:rFonts w:hint="eastAsia"/>
        </w:rPr>
        <w:t xml:space="preserve">交付成果管理围绕交货地点、随机资料、项目文档、验收资料和后续服务衔接展开，确保交付内容完整、规范、可追溯。根据采购文件要求，交货地点为采购人指定地点；同时应提供制造商完整的随机资料，包括完整的使用和维修手册等。</w:t>
      </w:r>
    </w:p>
    <w:p>
      <w:pPr>
        <w:numPr>
          <w:ilvl w:val="0"/>
          <w:numId w:val="1009"/>
        </w:numPr>
      </w:pPr>
      <w:r>
        <w:rPr>
          <w:rFonts w:hint="eastAsia"/>
        </w:rPr>
        <w:t xml:space="preserve">设备及硬件交付。按合同约定的采购范围将超融合系统、超融合互联交换机、超融合节点及相关配件运抵采购人指定地点，并完成到货检验、安装部署、调试验证和验收配合。最终到货时间、安装完成时间以【待人工确认：最终交货承诺/实际安装周期】为准。</w:t>
      </w:r>
    </w:p>
    <w:p>
      <w:pPr>
        <w:numPr>
          <w:ilvl w:val="0"/>
          <w:numId w:val="1009"/>
        </w:numPr>
      </w:pPr>
      <w:r>
        <w:rPr>
          <w:rFonts w:hint="eastAsia"/>
        </w:rPr>
        <w:t xml:space="preserve">随机资料交付。按采购文件要求提供制造商完整随机资料，包括但不限于使用手册、维修/维护手册、产品合格证/质保凭证（如适用）、装箱清单、必要的安装配置说明等。资料形式（纸质/电子/双语版本）、份数和交付时点以合同约定及制造商提供情况为准，最终清单见【待人工确认：随机资料与技术文档交付清单】。</w:t>
      </w:r>
    </w:p>
    <w:p>
      <w:pPr>
        <w:numPr>
          <w:ilvl w:val="0"/>
          <w:numId w:val="1009"/>
        </w:numPr>
      </w:pPr>
      <w:r>
        <w:rPr>
          <w:rFonts w:hint="eastAsia"/>
        </w:rPr>
        <w:t xml:space="preserve">项目实施文档交付。除随机资料外，我方拟根据实施过程整理并提交项目实施类文档，通常包括：项目实施计划、现场勘察记录、到货验收记录、设备上架与布线记录、配置清单、配置备份文件、测试记录、试运行记录、问题整改闭环记录、验收报告/验收书配合文件、培训签到及材料（如合同约定）等。最终文档清单以采购人要求和合同约定为准。</w:t>
      </w:r>
    </w:p>
    <w:p>
      <w:pPr>
        <w:numPr>
          <w:ilvl w:val="0"/>
          <w:numId w:val="1009"/>
        </w:numPr>
      </w:pPr>
      <w:r>
        <w:rPr>
          <w:rFonts w:hint="eastAsia"/>
        </w:rPr>
        <w:t xml:space="preserve">验收成果交付。验收阶段配合采购人形成验收书或验收记录，列明各项技术、服务、安全标准履约情况、验收结论和总体评价，由双方按要求签署。验收通过后完成项目成果和资料移交。</w:t>
      </w:r>
    </w:p>
    <w:p>
      <w:pPr>
        <w:numPr>
          <w:ilvl w:val="0"/>
          <w:numId w:val="1009"/>
        </w:numPr>
      </w:pPr>
      <w:r>
        <w:rPr>
          <w:rFonts w:hint="eastAsia"/>
        </w:rPr>
        <w:t xml:space="preserve">服务衔接交付。交付后向采购人明确售后接口、服务流程、报修方式、响应机制和项目档案归档方式，确保质保期服务可联络、可追溯。具体服务承诺时限若与本章实施周期相关，需另行确认，不在本章虚构超范围承诺。</w:t>
      </w:r>
    </w:p>
    <w:p>
      <w:pPr>
        <w:pStyle w:val="FirstParagraph"/>
      </w:pPr>
      <w:r>
        <w:rPr>
          <w:rFonts w:hint="eastAsia"/>
        </w:rPr>
        <w:t xml:space="preserve">交付过程执行“清单核对—双方签收—归档留存”的方式，确保设备、资料和文档均有交接记录。如采购人对交付物有额外格式、份数、签章或电子化归档要求，我方按要求配合提交。</w:t>
      </w:r>
    </w:p>
    <w:bookmarkEnd w:id="27"/>
    <w:bookmarkStart w:id="28" w:name="风险控制与应急保障"/>
    <w:p>
      <w:pPr>
        <w:pStyle w:val="2"/>
      </w:pPr>
      <w:r>
        <w:rPr>
          <w:rFonts w:hint="eastAsia"/>
        </w:rPr>
        <w:t xml:space="preserve">风险控制与应急保障</w:t>
      </w:r>
    </w:p>
    <w:p>
      <w:pPr>
        <w:pStyle w:val="FirstParagraph"/>
      </w:pPr>
      <w:r>
        <w:rPr>
          <w:rFonts w:hint="eastAsia"/>
        </w:rPr>
        <w:t xml:space="preserve">为保障项目实施平稳推进，降低供货、实施、测试、验收及交付过程中的不确定因素影响，项目建立风险识别、评估、预防、监控和应急处置机制，对关键风险实行提前预警、快速响应、闭环管理。</w:t>
      </w:r>
    </w:p>
    <w:p>
      <w:pPr>
        <w:numPr>
          <w:ilvl w:val="0"/>
          <w:numId w:val="1010"/>
        </w:numPr>
      </w:pPr>
      <w:r>
        <w:rPr>
          <w:rFonts w:hint="eastAsia"/>
        </w:rPr>
        <w:t xml:space="preserve">供货与物流风险。风险表现为供货周期紧张、物流延误、到货损伤、缺件错件等。控制措施包括：项目启动后及时确认订单和供货计划；跟踪生产/备货、物流发运和到货预约；到货前与采购人确认收货条件；到货后严格开箱检验，发现问题第一时间启动补发、换货或索赔流程。最终交货承诺以合同确认结果为准。</w:t>
      </w:r>
    </w:p>
    <w:p>
      <w:pPr>
        <w:numPr>
          <w:ilvl w:val="0"/>
          <w:numId w:val="1010"/>
        </w:numPr>
      </w:pPr>
      <w:r>
        <w:rPr>
          <w:rFonts w:hint="eastAsia"/>
        </w:rPr>
        <w:t xml:space="preserve">现场环境风险。风险表现为机柜空间不足、电源不满足、网络端口未就绪、布线条件不完善、机房准入受限、作业窗口紧张等。控制措施包括：提前现场勘察并出具条件核查记录；对不满足项提出整改建议；设备进场前再次确认环境条件；准备必要延长线、标签、工具等辅材，减少现场等待。</w:t>
      </w:r>
    </w:p>
    <w:p>
      <w:pPr>
        <w:numPr>
          <w:ilvl w:val="0"/>
          <w:numId w:val="1010"/>
        </w:numPr>
      </w:pPr>
      <w:r>
        <w:rPr>
          <w:rFonts w:hint="eastAsia"/>
        </w:rPr>
        <w:t xml:space="preserve">实施操作风险。风险表现为上架固定不规范、误接线路、误操作配置、影响现有业务或造成设备告警。控制措施包括：实施前技术交底和安全保密教育；高风险操作执行审批制度；关键配置双人复核、备份回退预案；严格按变更窗口作业；现场保留实施记录和配置备份。</w:t>
      </w:r>
    </w:p>
    <w:p>
      <w:pPr>
        <w:numPr>
          <w:ilvl w:val="0"/>
          <w:numId w:val="1010"/>
        </w:numPr>
      </w:pPr>
      <w:r>
        <w:rPr>
          <w:rFonts w:hint="eastAsia"/>
        </w:rPr>
        <w:t xml:space="preserve">技术与兼容性风险。风险表现为版本匹配、链路协商、管理访问、互联参数或与现场网络配合问题。控制措施包括：实施前核对版本与规划参数；先在验证环境或非关键窗口验证；出现异常及时联系技术支持并升级处理；对问题和解决方案形成知识库记录。</w:t>
      </w:r>
    </w:p>
    <w:p>
      <w:pPr>
        <w:numPr>
          <w:ilvl w:val="0"/>
          <w:numId w:val="1010"/>
        </w:numPr>
      </w:pPr>
      <w:r>
        <w:rPr>
          <w:rFonts w:hint="eastAsia"/>
        </w:rPr>
        <w:t xml:space="preserve">进度风险。风险表现为关键里程碑延期、人员到场不足、问题整改不及时、验收资料准备滞后。控制措施包括：制定详细计划并动态更新；明确人员职责和到岗要求；通过周例会、日报跟踪进度；关键节点提前预警；必要时增派技术资源支持。</w:t>
      </w:r>
    </w:p>
    <w:p>
      <w:pPr>
        <w:numPr>
          <w:ilvl w:val="0"/>
          <w:numId w:val="1010"/>
        </w:numPr>
      </w:pPr>
      <w:r>
        <w:rPr>
          <w:rFonts w:hint="eastAsia"/>
        </w:rPr>
        <w:t xml:space="preserve">数据与安全风险。风险表现为账号管理不规范、资料误传、现场违规接入、保密信息泄露等。控制措施包括：执行最小权限和临时授权原则；按采购人要求办理机房准入；配置文件、账号、拓扑等资料按保密要求传递和保存；项目结束后清理临时账号和无关数据。</w:t>
      </w:r>
    </w:p>
    <w:p>
      <w:pPr>
        <w:numPr>
          <w:ilvl w:val="0"/>
          <w:numId w:val="1010"/>
        </w:numPr>
      </w:pPr>
      <w:r>
        <w:rPr>
          <w:rFonts w:hint="eastAsia"/>
        </w:rPr>
        <w:t xml:space="preserve">应急保障机制。项目组建立应急联系机制，明确项目经理、技术负责人、厂商支持和售后接口；发生重大故障、配置异常、业务影响或安全事件时，立即启动问题升级和回退流程，优先恢复现场安全和业务稳定。现场备件、备机及高级别保障安排需根据投标承诺确认，当前以【待人工确认：应急保障资源与服务级别承诺】为准，不虚构备品数量和到场时限。</w:t>
      </w:r>
    </w:p>
    <w:p>
      <w:pPr>
        <w:numPr>
          <w:ilvl w:val="0"/>
          <w:numId w:val="1010"/>
        </w:numPr>
      </w:pPr>
      <w:r>
        <w:rPr>
          <w:rFonts w:hint="eastAsia"/>
        </w:rPr>
        <w:t xml:space="preserve">突发情况处理。对极端天气、疫情、不可抗力、临时封控等突发情况，及时与采购人沟通，调整实施计划并保留书面记录；具备远程支持条件时优先通过远程方式进行问题诊断和技术指导，减少现场受阻影响。</w:t>
      </w:r>
    </w:p>
    <w:p>
      <w:pPr>
        <w:pStyle w:val="FirstParagraph"/>
      </w:pPr>
      <w:r>
        <w:rPr>
          <w:rFonts w:hint="eastAsia"/>
        </w:rPr>
        <w:t xml:space="preserve">风险控制清单、应急预案和应急联系人表在项目负责人和团队确认后形成正式版本；如采购人要求提交专项应急预案，我方将按要求补充。</w:t>
      </w:r>
    </w:p>
    <w:bookmarkEnd w:id="28"/>
    <w:bookmarkEnd w:id="29"/>
    <w:sectPr w:rsidR="00764AF2" w:rsidRPr="00764AF2" w:rsidSect="007D2C9D">
      <w:footerReference r:id="rId9"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5D525100" w:rsidR="00E1645B" w:rsidRDefault="002171B9">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894FE18"/>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D3725B0E"/>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15:restartNumberingAfterBreak="0" w:abstractNumId="3">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4">
    <w:nsid w:val="4441231C"/>
    <w:multiLevelType w:val="multilevel"/>
    <w:tmpl w:val="C8BA27AA"/>
    <w:lvl w:ilvl="0">
      <w:start w:val="1"/>
      <w:numFmt w:val="decimal"/>
      <w:pStyle w:val="2"/>
      <w:suff w:val="space"/>
      <w:lvlText w:val="%1"/>
      <w:lvlJc w:val="left"/>
      <w:pPr>
        <w:ind w:firstLine="0" w:left="0"/>
      </w:pPr>
      <w:rPr>
        <w:rFonts w:hint="eastAsia"/>
      </w:rPr>
    </w:lvl>
    <w:lvl w:ilvl="1">
      <w:start w:val="1"/>
      <w:numFmt w:val="decimal"/>
      <w:pStyle w:val="3"/>
      <w:suff w:val="space"/>
      <w:lvlText w:val="%1.%2"/>
      <w:lvlJc w:val="left"/>
      <w:pPr>
        <w:ind w:firstLine="0" w:left="0"/>
      </w:pPr>
      <w:rPr>
        <w:rFonts w:hint="eastAsia"/>
      </w:rPr>
    </w:lvl>
    <w:lvl w:ilvl="2">
      <w:start w:val="1"/>
      <w:numFmt w:val="decimal"/>
      <w:pStyle w:val="4"/>
      <w:suff w:val="space"/>
      <w:lvlText w:val="%1.%2.%3"/>
      <w:lvlJc w:val="left"/>
      <w:pPr>
        <w:ind w:firstLine="0" w:left="0"/>
      </w:pPr>
      <w:rPr>
        <w:rFonts w:hint="eastAsia"/>
      </w:rPr>
    </w:lvl>
    <w:lvl w:ilvl="3">
      <w:start w:val="1"/>
      <w:numFmt w:val="decimal"/>
      <w:pStyle w:val="5"/>
      <w:suff w:val="space"/>
      <w:lvlText w:val="%1.%2.%3.%4"/>
      <w:lvlJc w:val="left"/>
      <w:pPr>
        <w:ind w:firstLine="0" w:left="0"/>
      </w:pPr>
      <w:rPr>
        <w:rFonts w:hint="eastAsia"/>
      </w:rPr>
    </w:lvl>
    <w:lvl w:ilvl="4">
      <w:start w:val="1"/>
      <w:numFmt w:val="decimal"/>
      <w:pStyle w:val="6"/>
      <w:suff w:val="space"/>
      <w:lvlText w:val="%1.%2.%3.%4.%5"/>
      <w:lvlJc w:val="left"/>
      <w:pPr>
        <w:ind w:firstLine="0" w:left="0"/>
      </w:pPr>
      <w:rPr>
        <w:rFonts w:hint="eastAsia"/>
      </w:rPr>
    </w:lvl>
    <w:lvl w:ilvl="5">
      <w:start w:val="1"/>
      <w:numFmt w:val="decimal"/>
      <w:pStyle w:val="7"/>
      <w:suff w:val="space"/>
      <w:lvlText w:val="%1.%2.%3.%4.%5.%6"/>
      <w:lvlJc w:val="left"/>
      <w:pPr>
        <w:ind w:firstLine="0" w:left="0"/>
      </w:pPr>
      <w:rPr>
        <w:rFonts w:hint="eastAsia"/>
      </w:rPr>
    </w:lvl>
    <w:lvl w:ilvl="6">
      <w:start w:val="1"/>
      <w:numFmt w:val="decimal"/>
      <w:pStyle w:val="8"/>
      <w:suff w:val="space"/>
      <w:lvlText w:val="%1.%2.%3.%4.%5.%6.%7"/>
      <w:lvlJc w:val="left"/>
      <w:pPr>
        <w:ind w:firstLine="0" w:left="0"/>
      </w:pPr>
      <w:rPr>
        <w:rFonts w:hint="eastAsia"/>
      </w:rPr>
    </w:lvl>
    <w:lvl w:ilvl="7">
      <w:start w:val="1"/>
      <w:numFmt w:val="decimal"/>
      <w:pStyle w:val="9"/>
      <w:suff w:val="space"/>
      <w:lvlText w:val="%1.%2.%3.%4.%5.%6.%7.%8"/>
      <w:lvlJc w:val="left"/>
      <w:pPr>
        <w:ind w:firstLine="0" w:left="0"/>
      </w:pPr>
      <w:rPr>
        <w:rFonts w:hint="eastAsia"/>
      </w:rPr>
    </w:lvl>
    <w:lvl w:ilvl="8">
      <w:start w:val="1"/>
      <w:numFmt w:val="decimal"/>
      <w:suff w:val="space"/>
      <w:lvlText w:val="%1.%2.%3.%4.%5.%6.%7.%8.%9"/>
      <w:lvlJc w:val="left"/>
      <w:pPr>
        <w:ind w:firstLine="0" w:left="0"/>
      </w:pPr>
      <w:rPr>
        <w:rFonts w:hint="eastAsia"/>
      </w:rPr>
    </w:lvl>
  </w:abstractNum>
  <w:abstractNum w15:restartNumberingAfterBreak="0" w:abstractNumId="5">
    <w:nsid w:val="553929AC"/>
    <w:multiLevelType w:val="multilevel"/>
    <w:tmpl w:val="22C0AC60"/>
    <w:styleLink w:val="20"/>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79438853" w:numId="1">
    <w:abstractNumId w:val="3"/>
  </w:num>
  <w:num w16cid:durableId="1185561364" w:numId="2">
    <w:abstractNumId w:val="5"/>
  </w:num>
  <w:num w16cid:durableId="1964850438" w:numId="3">
    <w:abstractNumId w:val="4"/>
  </w:num>
  <w:num w16cid:durableId="2049603216" w:numId="4">
    <w:abstractNumId w:val="0"/>
  </w:num>
  <w:num w16cid:durableId="703869699" w:numId="5">
    <w:abstractNumId w:val="2"/>
  </w:num>
  <w:num w16cid:durableId="1822653246"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1">
    <w:abstractNumId w:val="2"/>
  </w:num>
  <w:num w16cid:durableId="843059312"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3">
    <w:abstractNumId w:val="1"/>
  </w:num>
  <w:num w16cid:durableId="723678939" w:numId="14">
    <w:abstractNumId w:val="1"/>
  </w:num>
  <w:num w16cid:durableId="2047368205" w:numId="15">
    <w:abstractNumId w:val="1"/>
  </w:num>
  <w:num w16cid:durableId="974989202" w:numId="16">
    <w:abstractNumId w:val="1"/>
  </w:num>
  <w:num w16cid:durableId="55974617" w:numId="17">
    <w:abstractNumId w:val="1"/>
  </w:num>
  <w:num w16cid:durableId="1273897876" w:numId="18">
    <w:abstractNumId w:val="1"/>
  </w:num>
  <w:num w16cid:durableId="1449272727" w:numId="19">
    <w:abstractNumId w:val="1"/>
  </w:num>
  <w:num w16cid:durableId="370495256"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bordersDoNotSurroundHeader/>
  <w:bordersDoNotSurroundFooter/>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11FF0"/>
    <w:rsid w:val="00022676"/>
    <w:rsid w:val="0004746C"/>
    <w:rsid w:val="000475B8"/>
    <w:rsid w:val="00052A34"/>
    <w:rsid w:val="0006699E"/>
    <w:rsid w:val="000679B6"/>
    <w:rsid w:val="000A7A8B"/>
    <w:rsid w:val="000B7A83"/>
    <w:rsid w:val="000D0869"/>
    <w:rsid w:val="000E182D"/>
    <w:rsid w:val="001022D2"/>
    <w:rsid w:val="00141847"/>
    <w:rsid w:val="00142036"/>
    <w:rsid w:val="001C6D7A"/>
    <w:rsid w:val="001D39A1"/>
    <w:rsid w:val="002110DA"/>
    <w:rsid w:val="002171B9"/>
    <w:rsid w:val="0022655C"/>
    <w:rsid w:val="00244A78"/>
    <w:rsid w:val="00265786"/>
    <w:rsid w:val="002A65C7"/>
    <w:rsid w:val="002A6C67"/>
    <w:rsid w:val="002D2619"/>
    <w:rsid w:val="002E1FE4"/>
    <w:rsid w:val="002F0528"/>
    <w:rsid w:val="00327351"/>
    <w:rsid w:val="003447DB"/>
    <w:rsid w:val="00381258"/>
    <w:rsid w:val="003F73F4"/>
    <w:rsid w:val="00405A5C"/>
    <w:rsid w:val="004577E5"/>
    <w:rsid w:val="004F68E0"/>
    <w:rsid w:val="00505173"/>
    <w:rsid w:val="0051471F"/>
    <w:rsid w:val="005319BB"/>
    <w:rsid w:val="0057234B"/>
    <w:rsid w:val="0059550F"/>
    <w:rsid w:val="005A2CCF"/>
    <w:rsid w:val="005E0746"/>
    <w:rsid w:val="005E2761"/>
    <w:rsid w:val="00600F4C"/>
    <w:rsid w:val="00661B23"/>
    <w:rsid w:val="0067536D"/>
    <w:rsid w:val="006E05DD"/>
    <w:rsid w:val="006E5ED4"/>
    <w:rsid w:val="006F1AFE"/>
    <w:rsid w:val="00707355"/>
    <w:rsid w:val="007126C7"/>
    <w:rsid w:val="00713A32"/>
    <w:rsid w:val="00750883"/>
    <w:rsid w:val="00761171"/>
    <w:rsid w:val="00764AF2"/>
    <w:rsid w:val="0077273E"/>
    <w:rsid w:val="007A1D5C"/>
    <w:rsid w:val="007A4A91"/>
    <w:rsid w:val="007D2C9D"/>
    <w:rsid w:val="007E0786"/>
    <w:rsid w:val="00835A16"/>
    <w:rsid w:val="008460BF"/>
    <w:rsid w:val="00847482"/>
    <w:rsid w:val="00904EC4"/>
    <w:rsid w:val="009149B5"/>
    <w:rsid w:val="009370AA"/>
    <w:rsid w:val="00970C9D"/>
    <w:rsid w:val="009A30A6"/>
    <w:rsid w:val="009B04E5"/>
    <w:rsid w:val="009C0D72"/>
    <w:rsid w:val="009E3C62"/>
    <w:rsid w:val="00A14FF3"/>
    <w:rsid w:val="00A3427D"/>
    <w:rsid w:val="00AB7F6D"/>
    <w:rsid w:val="00AD67D5"/>
    <w:rsid w:val="00AF096A"/>
    <w:rsid w:val="00B21F28"/>
    <w:rsid w:val="00B2602F"/>
    <w:rsid w:val="00B573F0"/>
    <w:rsid w:val="00BB7088"/>
    <w:rsid w:val="00BE2FB7"/>
    <w:rsid w:val="00BF6B73"/>
    <w:rsid w:val="00C214C8"/>
    <w:rsid w:val="00C42332"/>
    <w:rsid w:val="00C47C42"/>
    <w:rsid w:val="00C53125"/>
    <w:rsid w:val="00C61475"/>
    <w:rsid w:val="00C62F87"/>
    <w:rsid w:val="00CA2A10"/>
    <w:rsid w:val="00D22A9C"/>
    <w:rsid w:val="00DC7989"/>
    <w:rsid w:val="00DD7956"/>
    <w:rsid w:val="00E1517C"/>
    <w:rsid w:val="00E1645B"/>
    <w:rsid w:val="00E862D2"/>
    <w:rsid w:val="00E9081A"/>
    <w:rsid w:val="00E90948"/>
    <w:rsid w:val="00EA31B2"/>
    <w:rsid w:val="00ED7391"/>
    <w:rsid w:val="00ED76D2"/>
    <w:rsid w:val="00F130A2"/>
    <w:rsid w:val="00F1492D"/>
    <w:rsid w:val="00F17727"/>
    <w:rsid w:val="00F346C6"/>
    <w:rsid w:val="00F66A7C"/>
    <w:rsid w:val="00F71E74"/>
    <w:rsid w:val="00FB4C2C"/>
    <w:rsid w:val="00FE5A72"/>
  </w:rsids>
  <w:themeFontLang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06699E"/>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rsid w:val="00C22677"/>
    <w:pPr>
      <w:keepNext/>
      <w:keepLines/>
      <w:numPr>
        <w:numId w:val="3"/>
      </w:numPr>
      <w:spacing w:before="300"/>
      <w:outlineLvl w:val="1"/>
    </w:pPr>
    <w:rPr>
      <w:rFonts w:cstheme="majorBidi" w:eastAsia="黑体"/>
      <w:b/>
      <w:bCs/>
      <w:sz w:val="32"/>
      <w:szCs w:val="32"/>
    </w:rPr>
  </w:style>
  <w:style w:styleId="3" w:type="paragraph">
    <w:name w:val="heading 3"/>
    <w:basedOn w:val="a"/>
    <w:next w:val="a0"/>
    <w:uiPriority w:val="9"/>
    <w:unhideWhenUsed/>
    <w:qFormat/>
    <w:rsid w:val="006E5ED4"/>
    <w:pPr>
      <w:keepNext/>
      <w:keepLines/>
      <w:numPr>
        <w:ilvl w:val="1"/>
        <w:numId w:val="3"/>
      </w:numPr>
      <w:spacing w:before="200"/>
      <w:outlineLvl w:val="2"/>
    </w:pPr>
    <w:rPr>
      <w:rFonts w:cstheme="majorBidi" w:eastAsia="黑体"/>
      <w:b/>
      <w:bCs/>
      <w:sz w:val="30"/>
      <w:szCs w:val="28"/>
    </w:rPr>
  </w:style>
  <w:style w:styleId="4" w:type="paragraph">
    <w:name w:val="heading 4"/>
    <w:basedOn w:val="a"/>
    <w:next w:val="a0"/>
    <w:uiPriority w:val="9"/>
    <w:unhideWhenUsed/>
    <w:qFormat/>
    <w:rsid w:val="006E5ED4"/>
    <w:pPr>
      <w:keepNext/>
      <w:keepLines/>
      <w:numPr>
        <w:ilvl w:val="2"/>
        <w:numId w:val="3"/>
      </w:numPr>
      <w:spacing w:before="200"/>
      <w:outlineLvl w:val="3"/>
    </w:pPr>
    <w:rPr>
      <w:rFonts w:cstheme="majorBidi" w:eastAsia="黑体"/>
      <w:b/>
      <w:bCs/>
    </w:rPr>
  </w:style>
  <w:style w:styleId="5" w:type="paragraph">
    <w:name w:val="heading 5"/>
    <w:basedOn w:val="a"/>
    <w:next w:val="a0"/>
    <w:uiPriority w:val="9"/>
    <w:unhideWhenUsed/>
    <w:qFormat/>
    <w:rsid w:val="006E5ED4"/>
    <w:pPr>
      <w:keepNext/>
      <w:keepLines/>
      <w:numPr>
        <w:ilvl w:val="3"/>
        <w:numId w:val="3"/>
      </w:numPr>
      <w:spacing w:before="200"/>
      <w:outlineLvl w:val="4"/>
    </w:pPr>
    <w:rPr>
      <w:rFonts w:cstheme="majorBidi" w:eastAsia="黑体"/>
      <w:b/>
      <w:iCs/>
    </w:rPr>
  </w:style>
  <w:style w:styleId="6" w:type="paragraph">
    <w:name w:val="heading 6"/>
    <w:basedOn w:val="a"/>
    <w:next w:val="a0"/>
    <w:uiPriority w:val="9"/>
    <w:unhideWhenUsed/>
    <w:qFormat/>
    <w:rsid w:val="006E5ED4"/>
    <w:pPr>
      <w:keepNext/>
      <w:keepLines/>
      <w:numPr>
        <w:ilvl w:val="4"/>
        <w:numId w:val="3"/>
      </w:numPr>
      <w:spacing w:before="200"/>
      <w:outlineLvl w:val="5"/>
    </w:pPr>
    <w:rPr>
      <w:rFonts w:cstheme="majorBidi" w:eastAsia="黑体"/>
      <w:b/>
    </w:rPr>
  </w:style>
  <w:style w:styleId="7" w:type="paragraph">
    <w:name w:val="heading 7"/>
    <w:basedOn w:val="a"/>
    <w:next w:val="a0"/>
    <w:uiPriority w:val="9"/>
    <w:unhideWhenUsed/>
    <w:qFormat/>
    <w:pPr>
      <w:keepNext/>
      <w:keepLines/>
      <w:numPr>
        <w:ilvl w:val="5"/>
        <w:numId w:val="3"/>
      </w:numPr>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numPr>
        <w:ilvl w:val="6"/>
        <w:numId w:val="3"/>
      </w:numPr>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numPr>
        <w:ilvl w:val="7"/>
        <w:numId w:val="3"/>
      </w:numPr>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F17727"/>
    <w:pPr>
      <w:spacing w:after="60" w:before="60"/>
      <w:ind w:firstLine="0" w:firstLineChars="0"/>
    </w:pPr>
  </w:style>
  <w:style w:styleId="a5" w:type="paragraph">
    <w:name w:val="Title"/>
    <w:basedOn w:val="a"/>
    <w:next w:val="a0"/>
    <w:qFormat/>
    <w:rsid w:val="00A3427D"/>
    <w:pPr>
      <w:keepNext/>
      <w:keepLines/>
      <w:spacing w:after="240" w:before="480"/>
      <w:jc w:val="center"/>
    </w:pPr>
    <w:rPr>
      <w:rFonts w:asciiTheme="majorHAnsi" w:cstheme="majorBidi" w:eastAsiaTheme="majorEastAsia" w:hAnsiTheme="majorHAnsi"/>
      <w:b/>
      <w:bCs/>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6E5ED4"/>
    <w:pPr>
      <w:tabs>
        <w:tab w:pos="384" w:val="left"/>
      </w:tabs>
      <w:ind w:hanging="200" w:hangingChars="200" w:left="200"/>
    </w:pPr>
  </w:style>
  <w:style w:styleId="a9" w:type="paragraph">
    <w:name w:val="Block Text"/>
    <w:basedOn w:val="a"/>
    <w:next w:val="a"/>
    <w:uiPriority w:val="9"/>
    <w:unhideWhenUsed/>
    <w:qFormat/>
    <w:rsid w:val="00B2602F"/>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rsid w:val="00C42332"/>
    <w:pPr>
      <w:jc w:val="center"/>
    </w:pPr>
  </w:style>
  <w:style w:customStyle="1" w:styleId="CaptionedFigure" w:type="paragraph">
    <w:name w:val="Captioned Figure"/>
    <w:basedOn w:val="Figure"/>
    <w:rsid w:val="009E3C62"/>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5319BB"/>
    <w:rPr>
      <w:rFonts w:ascii="Fira Code" w:cs="Times New Roman (正文 CS 字体)" w:eastAsia="宋体" w:hAnsi="Fira Code"/>
      <w:color w:themeColor="text1" w:themeTint="BF" w:val="404040"/>
      <w:sz w:val="21"/>
      <w:shd w:color="F3F4F4" w:fill="FFFFFF" w:themeFill="background1" w:val="clear"/>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rsid w:val="00A3427D"/>
    <w:pPr>
      <w:spacing w:before="240" w:line="259" w:lineRule="auto"/>
      <w:outlineLvl w:val="9"/>
    </w:pPr>
    <w:rPr>
      <w:b w:val="0"/>
      <w:bCs w:val="0"/>
    </w:rPr>
  </w:style>
  <w:style w:customStyle="1" w:styleId="SourceCode" w:type="paragraph">
    <w:name w:val="Source Code"/>
    <w:basedOn w:val="a"/>
    <w:link w:val="VerbatimChar"/>
    <w:qFormat/>
    <w:rsid w:val="005319BB"/>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FFFFF" w:themeFill="background1" w:val="clear"/>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0"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styleId="af4" w:type="character">
    <w:name w:val="Placeholder Text"/>
    <w:basedOn w:val="a1"/>
    <w:rsid w:val="0022655C"/>
    <w:rPr>
      <w:color w:val="666666"/>
    </w:rPr>
  </w:style>
  <w:style w:customStyle="1" w:styleId="InlineCode" w:type="character">
    <w:name w:val="Inline Code"/>
    <w:basedOn w:val="a1"/>
    <w:uiPriority w:val="1"/>
    <w:qFormat/>
    <w:rsid w:val="000475B8"/>
    <w:rPr>
      <w:rFonts w:ascii="Fira Code" w:cs="Times New Roman (正文 CS 字体)" w:eastAsia="宋体" w:hAnsi="Fira Code"/>
      <w:color w:themeColor="text1" w:themeTint="BF" w:val="404040"/>
      <w:sz w:val="21"/>
      <w:bdr w:color="auto" w:space="0" w:sz="0" w:val="none"/>
      <w:shd w:color="F3F4F4" w:fill="F2F2F2" w:themeFill="background1" w:themeFillShade="F2" w:val="clea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514</Words>
  <Characters>2936</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2026-07-24T03:10:10Z</dcterms:created>
  <dcterms:modified xsi:type="dcterms:W3CDTF">2026-07-24T03:10:10Z</dcterms:modified>
</cp:coreProperties>
</file>

<file path=docProps/custom.xml><?xml version="1.0" encoding="utf-8"?>
<Properties xmlns="http://schemas.openxmlformats.org/officeDocument/2006/custom-properties" xmlns:vt="http://schemas.openxmlformats.org/officeDocument/2006/docPropsVTypes"/>
</file>