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wmf" ContentType="image/x-wmf"/>
  <Override PartName="/word/media/image3.wmf" ContentType="image/x-wmf"/>
  <Override PartName="/word/numbering.xml" ContentType="application/vnd.openxmlformats-officedocument.wordprocessingml.numbering+xml"/>
  <Override PartName="/word/embeddings/oleObject1.bin" ContentType="application/vnd.openxmlformats-officedocument.oleObject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hint="eastAsia"/>
          <w:b/>
          <w:bCs/>
          <w:color w:val="000000"/>
          <w:sz w:val="36"/>
          <w:szCs w:val="36"/>
          <w:highlight w:val="none"/>
        </w:rPr>
      </w:pPr>
      <w:r>
        <w:rPr>
          <w:rFonts w:hint="eastAsia"/>
          <w:b/>
          <w:bCs/>
          <w:color w:val="000000"/>
          <w:sz w:val="36"/>
          <w:szCs w:val="36"/>
          <w:lang w:val="en-US" w:eastAsia="zh-CN"/>
        </w:rPr>
        <w:t>Ⅰ</w:t>
      </w:r>
      <w:r>
        <w:rPr>
          <w:rFonts w:hint="eastAsia"/>
          <w:b/>
          <w:bCs/>
          <w:color w:val="000000"/>
          <w:sz w:val="36"/>
          <w:szCs w:val="36"/>
          <w:lang w:val="en-US" w:eastAsia="zh-CN"/>
        </w:rPr>
        <w:t>、评标办法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color w:val="000000"/>
          <w:sz w:val="24"/>
          <w:szCs w:val="24"/>
          <w:highlight w:val="none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Fonts w:hint="eastAsia"/>
          <w:b/>
          <w:bCs/>
          <w:color w:val="000000"/>
          <w:sz w:val="24"/>
          <w:szCs w:val="24"/>
          <w:lang w:val="en-US"/>
        </w:rPr>
        <w:t>评标办法前附表之三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color w:val="000000"/>
          <w:sz w:val="24"/>
          <w:szCs w:val="24"/>
        </w:rPr>
        <w:t>商务评分标准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详见“评标办法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服务”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）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b/>
          <w:bCs/>
          <w:color w:val="000000"/>
          <w:sz w:val="24"/>
          <w:szCs w:val="24"/>
          <w:highlight w:val="none"/>
        </w:rPr>
      </w:pP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color w:val="000000"/>
          <w:sz w:val="24"/>
          <w:szCs w:val="24"/>
          <w:highlight w:val="none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b/>
          <w:bCs/>
          <w:color w:val="000000"/>
          <w:sz w:val="24"/>
          <w:szCs w:val="24"/>
          <w:lang w:val="en-US"/>
        </w:rPr>
        <w:t>评标办法前附表之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四：技术</w:t>
      </w:r>
      <w:r>
        <w:rPr>
          <w:rFonts w:hint="eastAsia"/>
          <w:b/>
          <w:bCs/>
          <w:color w:val="000000"/>
          <w:sz w:val="24"/>
          <w:szCs w:val="24"/>
        </w:rPr>
        <w:t>评分标准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详见“评标办法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服务”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）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color w:val="000000"/>
          <w:sz w:val="24"/>
          <w:szCs w:val="24"/>
          <w:highlight w:val="none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color w:val="000000"/>
          <w:sz w:val="24"/>
          <w:szCs w:val="24"/>
          <w:highlight w:val="none"/>
        </w:rPr>
      </w:pPr>
      <w:r>
        <w:rPr>
          <w:rFonts w:eastAsia="宋体" w:cs="宋体" w:hint="eastAsia" w:ascii="宋体" w:hAnsi="宋体"/>
          <w:b/>
          <w:bCs/>
          <w:color w:val="000000"/>
          <w:sz w:val="24"/>
          <w:szCs w:val="24"/>
          <w:lang w:val="en-US" w:eastAsia="zh-CN"/>
        </w:rPr>
        <w:t>3.</w:t>
      </w: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评标办法前附表之六：分值构成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详见“评标办法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服务”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）</w:t>
      </w:r>
    </w:p>
    <w:p>
      <w:pPr>
        <w:pStyle w:val="BodyText"/>
        <w:rPr>
          <w:rFonts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</w:pPr>
      <w:r>
        <w:rPr>
          <w:rFonts w:eastAsia="宋体" w:cs="宋体"/>
          <w:color w:val="000000"/>
          <w:sz w:val="24"/>
          <w:szCs w:val="24"/>
          <w:lang w:val="en-US" w:eastAsia="zh-CN"/>
        </w:rPr>
      </w:r>
    </w:p>
    <w:p>
      <w:pPr>
        <w:pStyle w:val="Normal"/>
        <w:rPr>
          <w:b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b/>
          <w:bCs/>
          <w:color w:val="000000"/>
          <w:sz w:val="24"/>
          <w:szCs w:val="24"/>
          <w:lang w:val="en-US" w:eastAsia="zh-CN"/>
        </w:rPr>
        <w:drawing>
          <wp:inline distT="0" distB="0" distL="0" distR="0">
            <wp:extent cx="920750" cy="831850"/>
            <wp:effectExtent l="0" t="0" r="0" b="0"/>
            <wp:docPr id="1" name="Objec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 1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9" t="-44" r="-39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b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4.</w:t>
      </w:r>
      <w:r>
        <w:rPr>
          <w:rFonts w:hint="eastAsia"/>
          <w:b/>
          <w:bCs/>
          <w:color w:val="000000"/>
          <w:sz w:val="24"/>
          <w:szCs w:val="24"/>
          <w:lang w:val="en-US"/>
        </w:rPr>
        <w:t>评标办法前附表之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五：</w:t>
      </w:r>
    </w:p>
    <w:p>
      <w:pPr>
        <w:pStyle w:val="Normal"/>
        <w:snapToGrid w:val="false"/>
        <w:spacing w:lineRule="exact" w:line="280" w:before="120" w:after="120"/>
        <w:jc w:val="both"/>
        <w:rPr>
          <w:rFonts w:ascii="宋体" w:hAnsi="宋体" w:eastAsia="宋体" w:cs="宋体" w:hint="eastAsia"/>
          <w:color w:val="000000"/>
          <w:sz w:val="24"/>
          <w:szCs w:val="24"/>
          <w:highlight w:val="none"/>
          <w:lang w:val="en-US" w:eastAsia="zh-CN"/>
        </w:rPr>
      </w:pPr>
      <w:r>
        <w:rPr>
          <w:rFonts w:cs="宋体" w:hint="eastAsia" w:ascii="宋体" w:hAnsi="宋体"/>
          <w:color w:val="000000"/>
          <w:sz w:val="24"/>
          <w:szCs w:val="24"/>
          <w:lang w:val="en-US" w:eastAsia="zh-CN"/>
        </w:rPr>
        <w:t>1.</w:t>
      </w:r>
      <w:r>
        <w:rPr>
          <w:rFonts w:ascii="宋体" w:hAnsi="宋体" w:cs="宋体"/>
          <w:color w:val="000000"/>
          <w:sz w:val="24"/>
          <w:szCs w:val="24"/>
        </w:rPr>
        <w:t>价格评分标准</w:t>
      </w:r>
      <w:r>
        <w:rPr>
          <w:rFonts w:hint="eastAsia"/>
          <w:color w:val="000000"/>
          <w:sz w:val="24"/>
          <w:szCs w:val="24"/>
        </w:rPr>
        <w:t>（价格计算公式）</w:t>
      </w:r>
      <w:r>
        <w:rPr>
          <w:rFonts w:ascii="宋体" w:hAnsi="宋体" w:cs="宋体" w:hint="eastAsia"/>
          <w:color w:val="000000"/>
          <w:sz w:val="24"/>
          <w:szCs w:val="24"/>
          <w:lang w:val="en-US" w:eastAsia="zh-CN"/>
        </w:rPr>
        <w:t>：</w:t>
      </w:r>
    </w:p>
    <w:p>
      <w:pPr>
        <w:pStyle w:val="Style15"/>
        <w:rPr>
          <w:rFonts w:ascii="宋体" w:hAnsi="宋体" w:eastAsia="宋体" w:cs="宋体" w:hint="eastAsia"/>
          <w:b/>
          <w:bCs/>
          <w:sz w:val="22"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）公式一：</w:t>
      </w:r>
      <w:r>
        <w:rPr>
          <w:b/>
          <w:bCs/>
        </w:rPr>
        <w:t>简单算术平均值法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不适用</w:t>
      </w:r>
      <w:r>
        <w:rPr>
          <w:rFonts w:hint="eastAsia"/>
          <w:b/>
          <w:bCs/>
          <w:lang w:eastAsia="zh-CN"/>
        </w:rPr>
        <w:t>）</w:t>
      </w:r>
    </w:p>
    <w:p>
      <w:pPr>
        <w:pStyle w:val="Normal"/>
        <w:numPr>
          <w:ilvl w:val="0"/>
          <w:numId w:val="0"/>
        </w:numPr>
        <w:spacing w:lineRule="auto" w:line="360"/>
        <w:ind w:firstLineChars="200" w:startChars="0" w:start="0" w:endChars="0" w:end="0"/>
        <w:rPr>
          <w:rFonts w:ascii="等线" w:hAnsi="等线" w:eastAsia="等线" w:cs="等线"/>
        </w:rPr>
      </w:pPr>
      <w:r>
        <w:rPr>
          <w:rFonts w:eastAsia="宋体" w:cs="宋体" w:ascii="宋体" w:hAnsi="宋体"/>
          <w:sz w:val="22"/>
        </w:rPr>
        <w:t>A.</w:t>
      </w:r>
      <w:r>
        <w:rPr>
          <w:rFonts w:ascii="宋体" w:hAnsi="宋体" w:cs="宋体"/>
          <w:sz w:val="22"/>
        </w:rPr>
        <w:t>计算基准价</w:t>
      </w:r>
    </w:p>
    <w:p>
      <w:pPr>
        <w:pStyle w:val="ListParagraph"/>
        <w:numPr>
          <w:ilvl w:val="0"/>
          <w:numId w:val="5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sz w:val="22"/>
        </w:rPr>
        <w:t>计算进入详评的投标人（</w:t>
      </w:r>
      <w:r>
        <w:rPr>
          <w:rFonts w:eastAsia="宋体" w:cs="宋体" w:ascii="宋体" w:hAnsi="宋体"/>
          <w:sz w:val="22"/>
        </w:rPr>
        <w:t>M</w:t>
      </w:r>
      <w:r>
        <w:rPr>
          <w:rFonts w:ascii="宋体" w:hAnsi="宋体" w:cs="宋体"/>
          <w:sz w:val="22"/>
        </w:rPr>
        <w:t>个）评标价</w:t>
      </w:r>
      <w:r>
        <w:rPr>
          <w:rFonts w:ascii="宋体" w:hAnsi="宋体" w:cs="宋体" w:hint="eastAsia"/>
          <w:sz w:val="22"/>
        </w:rPr>
        <w:t>的</w:t>
      </w:r>
      <w:r>
        <w:rPr>
          <w:rFonts w:ascii="宋体" w:hAnsi="宋体" w:cs="宋体"/>
          <w:sz w:val="22"/>
        </w:rPr>
        <w:t>算术平均值 ，为基准价；</w:t>
      </w:r>
    </w:p>
    <w:p>
      <w:pPr>
        <w:pStyle w:val="Normal"/>
        <w:numPr>
          <w:ilvl w:val="0"/>
          <w:numId w:val="0"/>
        </w:numPr>
        <w:spacing w:lineRule="auto" w:line="360"/>
        <w:ind w:firstLineChars="200" w:startChars="0" w:start="0" w:endChars="0" w:end="0"/>
        <w:rPr>
          <w:rFonts w:ascii="等线" w:hAnsi="等线" w:eastAsia="等线" w:cs="等线"/>
        </w:rPr>
      </w:pPr>
      <w:r>
        <w:rPr>
          <w:rFonts w:eastAsia="宋体" w:cs="宋体" w:ascii="宋体" w:hAnsi="宋体"/>
          <w:sz w:val="22"/>
        </w:rPr>
        <w:t>B.</w:t>
      </w:r>
      <w:r>
        <w:rPr>
          <w:rFonts w:ascii="宋体" w:hAnsi="宋体" w:cs="宋体"/>
          <w:sz w:val="22"/>
        </w:rPr>
        <w:t>基准价和评标价的比对并计算价格分</w:t>
      </w:r>
    </w:p>
    <w:p>
      <w:pPr>
        <w:pStyle w:val="ListParagraph"/>
        <w:numPr>
          <w:ilvl w:val="0"/>
          <w:numId w:val="6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sz w:val="22"/>
        </w:rPr>
        <w:t>如果评标价</w:t>
      </w:r>
      <w:r>
        <w:rPr>
          <w:rFonts w:eastAsia="宋体" w:cs="宋体" w:ascii="宋体" w:hAnsi="宋体"/>
          <w:sz w:val="22"/>
        </w:rPr>
        <w:t>&gt;=</w:t>
      </w:r>
      <w:r>
        <w:rPr>
          <w:rFonts w:ascii="宋体" w:hAnsi="宋体" w:cs="宋体"/>
          <w:sz w:val="22"/>
        </w:rPr>
        <w:t>基准价，</w:t>
      </w:r>
      <w:r>
        <w:rPr>
          <w:rFonts w:eastAsia="宋体" w:cs="宋体" w:ascii="宋体" w:hAnsi="宋体"/>
          <w:sz w:val="22"/>
        </w:rPr>
        <w:t>n=n1;</w:t>
      </w:r>
    </w:p>
    <w:p>
      <w:pPr>
        <w:pStyle w:val="Normal"/>
        <w:spacing w:lineRule="auto" w:line="360"/>
        <w:ind w:start="792" w:end="0"/>
        <w:rPr>
          <w:rFonts w:ascii="宋体" w:hAnsi="宋体" w:eastAsia="宋体" w:cs="宋体"/>
          <w:sz w:val="22"/>
        </w:rPr>
      </w:pPr>
      <w:r>
        <w:rPr>
          <w:rFonts w:ascii="宋体" w:hAnsi="宋体" w:cs="宋体"/>
          <w:sz w:val="22"/>
        </w:rPr>
        <w:t>如果评标价</w:t>
      </w:r>
      <w:r>
        <w:rPr>
          <w:rFonts w:eastAsia="宋体" w:cs="宋体" w:ascii="宋体" w:hAnsi="宋体"/>
          <w:sz w:val="22"/>
        </w:rPr>
        <w:t>&lt;</w:t>
      </w:r>
      <w:r>
        <w:rPr>
          <w:rFonts w:ascii="宋体" w:hAnsi="宋体" w:cs="宋体"/>
          <w:sz w:val="22"/>
        </w:rPr>
        <w:t>基准价，</w:t>
      </w:r>
      <w:r>
        <w:rPr>
          <w:rFonts w:eastAsia="宋体" w:cs="宋体" w:ascii="宋体" w:hAnsi="宋体"/>
          <w:sz w:val="22"/>
        </w:rPr>
        <w:t>n=n2;</w:t>
      </w:r>
    </w:p>
    <w:p>
      <w:pPr>
        <w:pStyle w:val="Style15"/>
        <w:rPr>
          <w:rFonts w:eastAsia="宋体" w:hint="eastAsia"/>
          <w:lang w:val="en-US" w:eastAsia="zh-CN"/>
        </w:rPr>
      </w:pPr>
      <w:r>
        <w:rPr>
          <w:rFonts w:ascii="宋体" w:hAnsi="宋体" w:cs="宋体" w:hint="eastAsia"/>
          <w:sz w:val="22"/>
          <w:lang w:val="en-US" w:eastAsia="zh-CN"/>
        </w:rPr>
        <w:t>其中，</w:t>
      </w:r>
      <w:r>
        <w:rPr>
          <w:rFonts w:eastAsia="宋体" w:cs="宋体" w:hint="eastAsia" w:ascii="宋体" w:hAnsi="宋体"/>
          <w:color w:val="000000"/>
          <w:sz w:val="21"/>
          <w:szCs w:val="21"/>
        </w:rPr>
        <w:t>n1=1</w:t>
      </w:r>
      <w:r>
        <w:rPr>
          <w:rFonts w:ascii="宋体" w:hAnsi="宋体" w:cs="宋体" w:hint="eastAsia"/>
          <w:color w:val="000000"/>
          <w:sz w:val="21"/>
          <w:szCs w:val="21"/>
        </w:rPr>
        <w:t>，</w:t>
      </w:r>
      <w:r>
        <w:rPr>
          <w:rFonts w:eastAsia="宋体" w:cs="宋体" w:hint="eastAsia" w:ascii="宋体" w:hAnsi="宋体"/>
          <w:color w:val="000000"/>
          <w:sz w:val="21"/>
          <w:szCs w:val="21"/>
        </w:rPr>
        <w:t>n2=0.8</w:t>
      </w:r>
    </w:p>
    <w:p>
      <w:pPr>
        <w:pStyle w:val="ListParagraph"/>
        <w:numPr>
          <w:ilvl w:val="0"/>
          <w:numId w:val="6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color w:val="000000"/>
          <w:sz w:val="22"/>
        </w:rPr>
        <w:t>计算价格分，价格分</w:t>
      </w:r>
      <w:r>
        <w:rPr>
          <w:rFonts w:eastAsia="宋体" w:cs="宋体" w:ascii="宋体" w:hAnsi="宋体"/>
          <w:color w:val="000000"/>
          <w:sz w:val="22"/>
        </w:rPr>
        <w:t>=100-100×n×|</w:t>
      </w:r>
      <w:r>
        <w:rPr>
          <w:rFonts w:ascii="宋体" w:hAnsi="宋体" w:cs="宋体"/>
          <w:color w:val="000000"/>
          <w:sz w:val="22"/>
        </w:rPr>
        <w:t>投标人的评标总价</w:t>
      </w:r>
      <w:r>
        <w:rPr>
          <w:rFonts w:eastAsia="宋体" w:cs="宋体" w:ascii="宋体" w:hAnsi="宋体"/>
          <w:color w:val="000000"/>
          <w:sz w:val="22"/>
        </w:rPr>
        <w:t>-</w:t>
      </w:r>
      <w:r>
        <w:rPr>
          <w:rFonts w:ascii="宋体" w:hAnsi="宋体" w:cs="宋体"/>
          <w:color w:val="000000"/>
          <w:sz w:val="22"/>
        </w:rPr>
        <w:t>基准价</w:t>
      </w:r>
      <w:r>
        <w:rPr>
          <w:rFonts w:eastAsia="宋体" w:cs="宋体" w:ascii="宋体" w:hAnsi="宋体"/>
          <w:color w:val="000000"/>
          <w:sz w:val="22"/>
        </w:rPr>
        <w:t>|/</w:t>
      </w:r>
      <w:r>
        <w:rPr>
          <w:rFonts w:ascii="宋体" w:hAnsi="宋体" w:cs="宋体"/>
          <w:color w:val="000000"/>
          <w:sz w:val="22"/>
        </w:rPr>
        <w:t>基准价；</w:t>
      </w:r>
    </w:p>
    <w:p>
      <w:pPr>
        <w:pStyle w:val="Normal"/>
        <w:spacing w:lineRule="auto" w:line="360"/>
        <w:ind w:start="792" w:end="0"/>
        <w:rPr>
          <w:rFonts w:ascii="宋体" w:hAnsi="宋体" w:eastAsia="宋体" w:cs="宋体"/>
          <w:color w:val="000000"/>
          <w:sz w:val="22"/>
        </w:rPr>
      </w:pPr>
      <w:r>
        <w:rPr>
          <w:rFonts w:eastAsia="宋体" w:cs="宋体" w:ascii="宋体" w:hAnsi="宋体"/>
          <w:color w:val="000000"/>
          <w:sz w:val="22"/>
        </w:rPr>
        <w:t xml:space="preserve">d.1 </w:t>
      </w:r>
      <w:r>
        <w:rPr>
          <w:rFonts w:ascii="宋体" w:hAnsi="宋体" w:cs="宋体"/>
          <w:color w:val="000000"/>
          <w:sz w:val="22"/>
        </w:rPr>
        <w:t>判断价格分是否小于</w:t>
      </w:r>
      <w:r>
        <w:rPr>
          <w:rFonts w:eastAsia="宋体" w:cs="宋体" w:ascii="宋体" w:hAnsi="宋体"/>
          <w:color w:val="000000"/>
          <w:sz w:val="22"/>
        </w:rPr>
        <w:t>0</w:t>
      </w:r>
      <w:r>
        <w:rPr>
          <w:rFonts w:ascii="宋体" w:hAnsi="宋体" w:cs="宋体"/>
          <w:color w:val="000000"/>
          <w:sz w:val="22"/>
        </w:rPr>
        <w:t>，如果小于</w:t>
      </w:r>
      <w:r>
        <w:rPr>
          <w:rFonts w:eastAsia="宋体" w:cs="宋体" w:ascii="宋体" w:hAnsi="宋体"/>
          <w:color w:val="000000"/>
          <w:sz w:val="22"/>
        </w:rPr>
        <w:t>0</w:t>
      </w:r>
      <w:r>
        <w:rPr>
          <w:rFonts w:ascii="宋体" w:hAnsi="宋体" w:cs="宋体"/>
          <w:color w:val="000000"/>
          <w:sz w:val="22"/>
        </w:rPr>
        <w:t>，则价格分为</w:t>
      </w:r>
      <w:r>
        <w:rPr>
          <w:rFonts w:eastAsia="宋体" w:cs="宋体" w:ascii="宋体" w:hAnsi="宋体"/>
          <w:color w:val="000000"/>
          <w:sz w:val="22"/>
        </w:rPr>
        <w:t>0</w:t>
      </w:r>
      <w:r>
        <w:rPr>
          <w:rFonts w:ascii="宋体" w:hAnsi="宋体" w:cs="宋体"/>
          <w:color w:val="000000"/>
          <w:sz w:val="22"/>
        </w:rPr>
        <w:t>。</w:t>
      </w:r>
    </w:p>
    <w:p>
      <w:pPr>
        <w:pStyle w:val="Normal"/>
        <w:spacing w:lineRule="auto" w:line="360"/>
        <w:rPr>
          <w:rFonts w:ascii="宋体" w:hAnsi="宋体" w:eastAsia="宋体" w:cs="宋体"/>
          <w:color w:val="000000"/>
          <w:sz w:val="22"/>
        </w:rPr>
      </w:pPr>
      <w:r>
        <w:rPr>
          <w:rFonts w:ascii="宋体" w:hAnsi="宋体" w:cs="宋体"/>
          <w:color w:val="000000"/>
          <w:sz w:val="22"/>
        </w:rPr>
        <w:t>结束</w:t>
      </w:r>
    </w:p>
    <w:p>
      <w:pPr>
        <w:pStyle w:val="Normal"/>
        <w:ind w:firstLineChars="200" w:startChars="0" w:start="0" w:endChars="0" w:end="0"/>
        <w:rPr>
          <w:rFonts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（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）公式二：区间复合平均价法（适用于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0425139001001-8101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0425139001001-8102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0425139001001-8103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0425139001001-8201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0425139001001-8202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0425139001001-2069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0425139001003-2087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0425139001003-2053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0425139001003-2004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eastAsia="宋体" w:cs="Times New Roman" w:hint="eastAsia" w:ascii="Times New Roman" w:hAnsi="Times New Roman"/>
          <w:b/>
          <w:bCs/>
          <w:kern w:val="2"/>
          <w:sz w:val="21"/>
          <w:szCs w:val="24"/>
          <w:lang w:val="en-US" w:eastAsia="zh-CN" w:bidi="ar-SA"/>
        </w:rPr>
        <w:t>0425139003001-3954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标段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）</w:t>
      </w:r>
    </w:p>
    <w:p>
      <w:pPr>
        <w:pStyle w:val="Normal"/>
        <w:numPr>
          <w:ilvl w:val="0"/>
          <w:numId w:val="2"/>
        </w:numPr>
        <w:spacing w:lineRule="auto" w:line="360"/>
        <w:ind w:hanging="360" w:start="360" w:end="0"/>
        <w:rPr>
          <w:rFonts w:ascii="等线" w:hAnsi="等线" w:eastAsia="等线" w:cs="等线"/>
        </w:rPr>
      </w:pPr>
      <w:r>
        <w:rPr>
          <w:rFonts w:eastAsia="宋体" w:cs="宋体" w:ascii="宋体" w:hAnsi="宋体"/>
          <w:sz w:val="22"/>
        </w:rPr>
        <w:t>A.</w:t>
      </w:r>
      <w:r>
        <w:rPr>
          <w:rFonts w:ascii="宋体" w:hAnsi="宋体" w:cs="宋体"/>
          <w:sz w:val="22"/>
        </w:rPr>
        <w:t>计算基准价</w:t>
      </w:r>
    </w:p>
    <w:p>
      <w:pPr>
        <w:pStyle w:val="ListParagraph"/>
        <w:numPr>
          <w:ilvl w:val="0"/>
          <w:numId w:val="3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sz w:val="22"/>
        </w:rPr>
        <w:t>计算进入详评的投标人（</w:t>
      </w:r>
      <w:r>
        <w:rPr>
          <w:rFonts w:eastAsia="宋体" w:cs="宋体" w:ascii="宋体" w:hAnsi="宋体"/>
          <w:sz w:val="22"/>
        </w:rPr>
        <w:t>M</w:t>
      </w:r>
      <w:r>
        <w:rPr>
          <w:rFonts w:ascii="宋体" w:hAnsi="宋体" w:cs="宋体"/>
          <w:sz w:val="22"/>
        </w:rPr>
        <w:t xml:space="preserve">个）评标价算术平均值 </w:t>
      </w:r>
      <w:r>
        <w:rPr>
          <w:rFonts w:eastAsia="宋体" w:cs="宋体" w:hint="eastAsia" w:ascii="宋体" w:hAnsi="宋体"/>
          <w:sz w:val="22"/>
        </w:rPr>
        <w:t>A</w:t>
      </w:r>
      <w:r>
        <w:rPr>
          <w:rFonts w:eastAsia="宋体" w:cs="宋体" w:ascii="宋体" w:hAnsi="宋体"/>
          <w:sz w:val="22"/>
        </w:rPr>
        <w:t>1</w:t>
      </w:r>
    </w:p>
    <w:p>
      <w:pPr>
        <w:pStyle w:val="ListParagraph"/>
        <w:numPr>
          <w:ilvl w:val="0"/>
          <w:numId w:val="3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sz w:val="22"/>
        </w:rPr>
        <w:t>判定</w:t>
      </w:r>
      <w:r>
        <w:rPr>
          <w:rFonts w:eastAsia="宋体" w:cs="宋体" w:ascii="宋体" w:hAnsi="宋体"/>
          <w:sz w:val="22"/>
        </w:rPr>
        <w:t>M</w:t>
      </w:r>
      <w:r>
        <w:rPr>
          <w:rFonts w:ascii="宋体" w:hAnsi="宋体" w:cs="宋体"/>
          <w:sz w:val="22"/>
        </w:rPr>
        <w:t>个评标价是否均在平均值区间</w:t>
      </w:r>
      <w:r>
        <w:rPr>
          <w:rFonts w:eastAsia="宋体" w:cs="宋体" w:ascii="宋体" w:hAnsi="宋体"/>
          <w:sz w:val="22"/>
        </w:rPr>
        <w:t>1[A1×(1+b),A1×(1+c)]</w:t>
      </w:r>
      <w:r>
        <w:rPr>
          <w:rFonts w:ascii="宋体" w:hAnsi="宋体" w:cs="宋体"/>
          <w:sz w:val="22"/>
        </w:rPr>
        <w:t>范围外，</w:t>
      </w:r>
    </w:p>
    <w:p>
      <w:pPr>
        <w:pStyle w:val="Normal"/>
        <w:spacing w:lineRule="auto" w:line="360"/>
        <w:ind w:start="792" w:end="0"/>
        <w:rPr>
          <w:rFonts w:ascii="宋体" w:hAnsi="宋体" w:eastAsia="宋体" w:cs="宋体"/>
        </w:rPr>
      </w:pPr>
      <w:r>
        <w:rPr>
          <w:rFonts w:eastAsia="宋体" w:cs="宋体" w:ascii="宋体" w:hAnsi="宋体"/>
          <w:sz w:val="22"/>
        </w:rPr>
        <w:t>b.1</w:t>
      </w:r>
      <w:r>
        <w:rPr>
          <w:rFonts w:ascii="宋体" w:hAnsi="宋体" w:cs="宋体"/>
          <w:sz w:val="22"/>
        </w:rPr>
        <w:t>如果均在范围外，则计算</w:t>
      </w:r>
      <w:r>
        <w:rPr>
          <w:rFonts w:ascii="宋体" w:hAnsi="宋体" w:cs="宋体" w:hint="eastAsia"/>
          <w:sz w:val="22"/>
        </w:rPr>
        <w:t>所有进入详评的投标人评标价的算术平均值</w:t>
      </w:r>
      <w:r>
        <w:rPr>
          <w:rFonts w:ascii="宋体" w:hAnsi="宋体" w:cs="宋体"/>
          <w:sz w:val="22"/>
        </w:rPr>
        <w:t>与所有评标价最小值两者的平均值，为基准价。</w:t>
      </w:r>
    </w:p>
    <w:p>
      <w:pPr>
        <w:pStyle w:val="Normal"/>
        <w:spacing w:lineRule="auto" w:line="360"/>
        <w:ind w:start="792" w:end="0"/>
        <w:rPr>
          <w:rFonts w:ascii="等线" w:hAnsi="等线" w:eastAsia="等线" w:cs="等线"/>
        </w:rPr>
      </w:pPr>
      <w:r>
        <w:rPr>
          <w:rFonts w:eastAsia="宋体" w:cs="宋体" w:ascii="宋体" w:hAnsi="宋体"/>
          <w:sz w:val="22"/>
        </w:rPr>
        <w:t>b.2</w:t>
      </w:r>
      <w:r>
        <w:rPr>
          <w:rFonts w:ascii="宋体" w:hAnsi="宋体" w:cs="宋体"/>
          <w:sz w:val="22"/>
        </w:rPr>
        <w:t>如果存在评标价在区间</w:t>
      </w:r>
      <w:r>
        <w:rPr>
          <w:rFonts w:eastAsia="宋体" w:cs="宋体" w:ascii="宋体" w:hAnsi="宋体"/>
          <w:sz w:val="22"/>
        </w:rPr>
        <w:t>1</w:t>
      </w:r>
      <w:r>
        <w:rPr>
          <w:rFonts w:ascii="宋体" w:hAnsi="宋体" w:cs="宋体"/>
          <w:sz w:val="22"/>
        </w:rPr>
        <w:t>范围内，则计算区间</w:t>
      </w:r>
      <w:r>
        <w:rPr>
          <w:rFonts w:eastAsia="宋体" w:cs="宋体" w:ascii="宋体" w:hAnsi="宋体"/>
          <w:sz w:val="22"/>
        </w:rPr>
        <w:t>1</w:t>
      </w:r>
      <w:r>
        <w:rPr>
          <w:rFonts w:ascii="宋体" w:hAnsi="宋体" w:cs="宋体"/>
          <w:sz w:val="22"/>
        </w:rPr>
        <w:t>内的投标人（</w:t>
      </w:r>
      <w:r>
        <w:rPr>
          <w:rFonts w:eastAsia="宋体" w:cs="宋体" w:ascii="宋体" w:hAnsi="宋体"/>
          <w:sz w:val="22"/>
        </w:rPr>
        <w:t>N</w:t>
      </w:r>
      <w:r>
        <w:rPr>
          <w:rFonts w:ascii="宋体" w:hAnsi="宋体" w:cs="宋体"/>
          <w:sz w:val="22"/>
        </w:rPr>
        <w:t>个）评标价算术平均值</w:t>
      </w:r>
      <w:r>
        <w:rPr>
          <w:rFonts w:ascii="等线" w:hAnsi="等线" w:cs="等线" w:eastAsia="等线"/>
          <w:sz w:val="22"/>
        </w:rPr>
        <w:t>，</w:t>
      </w:r>
      <w:r>
        <w:rPr>
          <w:rFonts w:ascii="宋体" w:hAnsi="宋体" w:cs="宋体"/>
          <w:sz w:val="22"/>
        </w:rPr>
        <w:t>为基准价。</w:t>
      </w:r>
    </w:p>
    <w:p>
      <w:pPr>
        <w:pStyle w:val="Normal"/>
        <w:numPr>
          <w:ilvl w:val="0"/>
          <w:numId w:val="2"/>
        </w:numPr>
        <w:spacing w:lineRule="auto" w:line="360"/>
        <w:ind w:hanging="360" w:start="360" w:end="0"/>
        <w:rPr>
          <w:rFonts w:ascii="等线" w:hAnsi="等线" w:eastAsia="等线" w:cs="等线"/>
        </w:rPr>
      </w:pPr>
      <w:r>
        <w:rPr>
          <w:rFonts w:eastAsia="宋体" w:cs="宋体" w:ascii="宋体" w:hAnsi="宋体"/>
          <w:sz w:val="22"/>
        </w:rPr>
        <w:t>B.</w:t>
      </w:r>
      <w:r>
        <w:rPr>
          <w:rFonts w:ascii="宋体" w:hAnsi="宋体" w:cs="宋体"/>
          <w:sz w:val="22"/>
        </w:rPr>
        <w:t>基准价和评标价的比对并计算价格分</w:t>
      </w:r>
    </w:p>
    <w:p>
      <w:pPr>
        <w:pStyle w:val="ListParagraph"/>
        <w:numPr>
          <w:ilvl w:val="0"/>
          <w:numId w:val="3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sz w:val="22"/>
        </w:rPr>
        <w:t>如果评标价</w:t>
      </w:r>
      <w:r>
        <w:rPr>
          <w:rFonts w:eastAsia="宋体" w:cs="宋体" w:ascii="宋体" w:hAnsi="宋体"/>
          <w:sz w:val="22"/>
        </w:rPr>
        <w:t>&gt;=</w:t>
      </w:r>
      <w:r>
        <w:rPr>
          <w:rFonts w:ascii="宋体" w:hAnsi="宋体" w:cs="宋体"/>
          <w:sz w:val="22"/>
        </w:rPr>
        <w:t>基准价，</w:t>
      </w:r>
      <w:r>
        <w:rPr>
          <w:rFonts w:eastAsia="宋体" w:cs="宋体" w:ascii="宋体" w:hAnsi="宋体"/>
          <w:sz w:val="22"/>
        </w:rPr>
        <w:t>n=n1;</w:t>
      </w:r>
    </w:p>
    <w:p>
      <w:pPr>
        <w:pStyle w:val="Normal"/>
        <w:spacing w:lineRule="auto" w:line="360"/>
        <w:ind w:start="792" w:end="0"/>
        <w:rPr>
          <w:rFonts w:ascii="宋体" w:hAnsi="宋体" w:eastAsia="宋体" w:cs="宋体"/>
        </w:rPr>
      </w:pPr>
      <w:r>
        <w:rPr>
          <w:rFonts w:ascii="宋体" w:hAnsi="宋体" w:cs="宋体"/>
          <w:sz w:val="22"/>
        </w:rPr>
        <w:t>如果评标价</w:t>
      </w:r>
      <w:r>
        <w:rPr>
          <w:rFonts w:eastAsia="宋体" w:cs="宋体" w:ascii="宋体" w:hAnsi="宋体"/>
          <w:sz w:val="22"/>
        </w:rPr>
        <w:t>&lt;</w:t>
      </w:r>
      <w:r>
        <w:rPr>
          <w:rFonts w:ascii="宋体" w:hAnsi="宋体" w:cs="宋体"/>
          <w:sz w:val="22"/>
        </w:rPr>
        <w:t>基准价，</w:t>
      </w:r>
      <w:r>
        <w:rPr>
          <w:rFonts w:eastAsia="宋体" w:cs="宋体" w:ascii="宋体" w:hAnsi="宋体"/>
          <w:sz w:val="22"/>
        </w:rPr>
        <w:t>n=n2;</w:t>
      </w:r>
    </w:p>
    <w:p>
      <w:pPr>
        <w:pStyle w:val="ListParagraph"/>
        <w:numPr>
          <w:ilvl w:val="0"/>
          <w:numId w:val="4"/>
        </w:numPr>
        <w:spacing w:lineRule="auto" w:line="360"/>
        <w:ind w:firstLineChars="0" w:firstLine="0" w:startChars="0" w:start="0" w:endChars="0" w:end="0"/>
        <w:rPr>
          <w:rFonts w:ascii="等线" w:hAnsi="等线" w:eastAsia="等线" w:cs="等线"/>
        </w:rPr>
      </w:pPr>
      <w:r>
        <w:rPr>
          <w:rFonts w:ascii="宋体" w:hAnsi="宋体" w:cs="宋体"/>
          <w:color w:val="000000"/>
          <w:sz w:val="22"/>
        </w:rPr>
        <w:t>计算价格分，价格分</w:t>
      </w:r>
      <w:r>
        <w:rPr>
          <w:rFonts w:eastAsia="宋体" w:cs="宋体" w:ascii="宋体" w:hAnsi="宋体"/>
          <w:color w:val="000000"/>
          <w:sz w:val="22"/>
        </w:rPr>
        <w:t>=100-100×n×|</w:t>
      </w:r>
      <w:r>
        <w:rPr>
          <w:rFonts w:ascii="宋体" w:hAnsi="宋体" w:cs="宋体"/>
          <w:color w:val="000000"/>
          <w:sz w:val="22"/>
        </w:rPr>
        <w:t>投标人的评标总价</w:t>
      </w:r>
      <w:r>
        <w:rPr>
          <w:rFonts w:eastAsia="宋体" w:cs="宋体" w:ascii="宋体" w:hAnsi="宋体"/>
          <w:color w:val="000000"/>
          <w:sz w:val="22"/>
        </w:rPr>
        <w:t>-</w:t>
      </w:r>
      <w:r>
        <w:rPr>
          <w:rFonts w:ascii="宋体" w:hAnsi="宋体" w:cs="宋体"/>
          <w:color w:val="000000"/>
          <w:sz w:val="22"/>
        </w:rPr>
        <w:t>基准价</w:t>
      </w:r>
      <w:r>
        <w:rPr>
          <w:rFonts w:eastAsia="宋体" w:cs="宋体" w:ascii="宋体" w:hAnsi="宋体"/>
          <w:color w:val="000000"/>
          <w:sz w:val="22"/>
        </w:rPr>
        <w:t>|/</w:t>
      </w:r>
      <w:r>
        <w:rPr>
          <w:rFonts w:ascii="宋体" w:hAnsi="宋体" w:cs="宋体"/>
          <w:color w:val="000000"/>
          <w:sz w:val="22"/>
        </w:rPr>
        <w:t>基准价；</w:t>
      </w:r>
    </w:p>
    <w:p>
      <w:pPr>
        <w:pStyle w:val="Normal"/>
        <w:spacing w:lineRule="auto" w:line="360"/>
        <w:ind w:start="792" w:end="0"/>
        <w:rPr>
          <w:rFonts w:ascii="宋体" w:hAnsi="宋体" w:eastAsia="宋体" w:cs="宋体"/>
          <w:color w:val="000000"/>
          <w:sz w:val="22"/>
        </w:rPr>
      </w:pPr>
      <w:r>
        <w:rPr>
          <w:rFonts w:eastAsia="宋体" w:cs="宋体" w:ascii="宋体" w:hAnsi="宋体"/>
          <w:color w:val="000000"/>
          <w:sz w:val="22"/>
        </w:rPr>
        <w:t xml:space="preserve">d.1 </w:t>
      </w:r>
      <w:r>
        <w:rPr>
          <w:rFonts w:ascii="宋体" w:hAnsi="宋体" w:cs="宋体"/>
          <w:color w:val="000000"/>
          <w:sz w:val="22"/>
        </w:rPr>
        <w:t>判断价格分是否小于</w:t>
      </w:r>
      <w:r>
        <w:rPr>
          <w:rFonts w:eastAsia="宋体" w:cs="宋体" w:ascii="宋体" w:hAnsi="宋体"/>
          <w:color w:val="000000"/>
          <w:sz w:val="22"/>
        </w:rPr>
        <w:t>0</w:t>
      </w:r>
      <w:r>
        <w:rPr>
          <w:rFonts w:ascii="宋体" w:hAnsi="宋体" w:cs="宋体"/>
          <w:color w:val="000000"/>
          <w:sz w:val="22"/>
        </w:rPr>
        <w:t>，如果小于</w:t>
      </w:r>
      <w:r>
        <w:rPr>
          <w:rFonts w:eastAsia="宋体" w:cs="宋体" w:ascii="宋体" w:hAnsi="宋体"/>
          <w:color w:val="000000"/>
          <w:sz w:val="22"/>
        </w:rPr>
        <w:t>0</w:t>
      </w:r>
      <w:r>
        <w:rPr>
          <w:rFonts w:ascii="宋体" w:hAnsi="宋体" w:cs="宋体"/>
          <w:color w:val="000000"/>
          <w:sz w:val="22"/>
        </w:rPr>
        <w:t>，则价格分为</w:t>
      </w:r>
      <w:r>
        <w:rPr>
          <w:rFonts w:eastAsia="宋体" w:cs="宋体" w:ascii="宋体" w:hAnsi="宋体"/>
          <w:color w:val="000000"/>
          <w:sz w:val="22"/>
        </w:rPr>
        <w:t>0</w:t>
      </w:r>
      <w:r>
        <w:rPr>
          <w:rFonts w:ascii="宋体" w:hAnsi="宋体" w:cs="宋体"/>
          <w:color w:val="000000"/>
          <w:sz w:val="22"/>
        </w:rPr>
        <w:t>。</w:t>
      </w:r>
    </w:p>
    <w:p>
      <w:pPr>
        <w:pStyle w:val="Style15"/>
        <w:ind w:firstLineChars="300" w:startChars="0" w:start="0" w:endChars="0" w:end="0"/>
        <w:rPr>
          <w:rFonts w:ascii="宋体" w:hAnsi="宋体" w:eastAsia="宋体" w:cs="Times New Roman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宋体" w:hAnsi="宋体" w:cs="Times New Roman" w:hint="eastAsia"/>
          <w:color w:val="000000"/>
          <w:kern w:val="2"/>
          <w:sz w:val="22"/>
          <w:szCs w:val="24"/>
          <w:lang w:val="en-US" w:eastAsia="zh-CN" w:bidi="ar-SA"/>
        </w:rPr>
        <w:t>其中，</w:t>
      </w:r>
      <w:r>
        <w:rPr>
          <w:rFonts w:eastAsia="宋体" w:cs="Times New Roman" w:hint="eastAsia" w:ascii="宋体" w:hAnsi="宋体"/>
          <w:color w:val="000000"/>
          <w:kern w:val="2"/>
          <w:sz w:val="22"/>
          <w:szCs w:val="24"/>
          <w:lang w:val="en-US" w:eastAsia="zh-CN" w:bidi="ar-SA"/>
        </w:rPr>
        <w:t>b=-0.2</w:t>
      </w:r>
      <w:r>
        <w:rPr>
          <w:rFonts w:ascii="宋体" w:hAnsi="宋体" w:cs="Times New Roman" w:hint="eastAsia"/>
          <w:color w:val="000000"/>
          <w:kern w:val="2"/>
          <w:sz w:val="22"/>
          <w:szCs w:val="24"/>
          <w:lang w:val="en-US" w:eastAsia="zh-CN" w:bidi="ar-SA"/>
        </w:rPr>
        <w:t>，</w:t>
      </w:r>
      <w:r>
        <w:rPr>
          <w:rFonts w:eastAsia="宋体" w:cs="Times New Roman" w:hint="eastAsia" w:ascii="宋体" w:hAnsi="宋体"/>
          <w:color w:val="000000"/>
          <w:kern w:val="2"/>
          <w:sz w:val="22"/>
          <w:szCs w:val="24"/>
          <w:lang w:val="en-US" w:eastAsia="zh-CN" w:bidi="ar-SA"/>
        </w:rPr>
        <w:t>c=0.15</w:t>
      </w:r>
      <w:r>
        <w:rPr>
          <w:rFonts w:ascii="宋体" w:hAnsi="宋体" w:cs="Times New Roman" w:hint="eastAsia"/>
          <w:color w:val="000000"/>
          <w:kern w:val="2"/>
          <w:sz w:val="22"/>
          <w:szCs w:val="24"/>
          <w:lang w:val="en-US" w:eastAsia="zh-CN" w:bidi="ar-SA"/>
        </w:rPr>
        <w:t>，</w:t>
      </w:r>
      <w:r>
        <w:rPr>
          <w:rFonts w:eastAsia="宋体" w:cs="Times New Roman" w:hint="eastAsia" w:ascii="宋体" w:hAnsi="宋体"/>
          <w:color w:val="000000"/>
          <w:kern w:val="2"/>
          <w:sz w:val="22"/>
          <w:szCs w:val="24"/>
          <w:lang w:val="en-US" w:eastAsia="zh-CN" w:bidi="ar-SA"/>
        </w:rPr>
        <w:t>n1=1</w:t>
      </w:r>
      <w:r>
        <w:rPr>
          <w:rFonts w:ascii="宋体" w:hAnsi="宋体" w:cs="Times New Roman" w:hint="eastAsia"/>
          <w:color w:val="000000"/>
          <w:kern w:val="2"/>
          <w:sz w:val="22"/>
          <w:szCs w:val="24"/>
          <w:lang w:val="en-US" w:eastAsia="zh-CN" w:bidi="ar-SA"/>
        </w:rPr>
        <w:t>，</w:t>
      </w:r>
      <w:r>
        <w:rPr>
          <w:rFonts w:eastAsia="宋体" w:cs="Times New Roman" w:hint="eastAsia" w:ascii="宋体" w:hAnsi="宋体"/>
          <w:color w:val="000000"/>
          <w:kern w:val="2"/>
          <w:sz w:val="22"/>
          <w:szCs w:val="24"/>
          <w:lang w:val="en-US" w:eastAsia="zh-CN" w:bidi="ar-SA"/>
        </w:rPr>
        <w:t>n2=0.5</w:t>
      </w:r>
    </w:p>
    <w:p>
      <w:pPr>
        <w:pStyle w:val="Normal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/>
          <w:color w:val="000000"/>
          <w:sz w:val="22"/>
        </w:rPr>
        <w:t>结束</w:t>
      </w:r>
    </w:p>
    <w:p>
      <w:pPr>
        <w:pStyle w:val="BodyText"/>
        <w:numPr>
          <w:ilvl w:val="0"/>
          <w:numId w:val="0"/>
        </w:numPr>
        <w:ind w:firstLineChars="0" w:firstLine="0" w:startChars="0" w:start="0" w:endChars="0" w:end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）区间复合一次平均价法（适用于其他标段）</w:t>
      </w:r>
    </w:p>
    <w:p>
      <w:pPr>
        <w:pStyle w:val="Normal"/>
        <w:spacing w:lineRule="auto" w:line="360" w:before="120" w:after="0"/>
        <w:ind w:firstLine="418" w:end="0"/>
        <w:rPr/>
      </w:pPr>
      <w:r>
        <w:rPr/>
        <w:t>计算进入详评的投标人评标价的算术平均值</w:t>
      </w:r>
      <w:r>
        <w:rPr/>
        <w:t>A1</w:t>
      </w:r>
      <w:r>
        <w:rPr/>
        <w:t>；再剔除（剔除只为计算平均值使用，并不否决）评标价与算术平均值</w:t>
      </w:r>
      <w:r>
        <w:rPr/>
        <w:t xml:space="preserve">A1 </w:t>
      </w:r>
      <w:r>
        <w:rPr/>
        <w:t>偏差超过</w:t>
      </w:r>
      <w:r>
        <w:rPr/>
        <w:t>[A1</w:t>
      </w:r>
      <w:r>
        <w:rPr>
          <w:rFonts w:hint="eastAsia"/>
        </w:rPr>
        <w:t>×w</w:t>
      </w:r>
      <w:r>
        <w:rPr/>
        <w:t>1</w:t>
      </w:r>
      <w:r>
        <w:rPr/>
        <w:t>，</w:t>
      </w:r>
      <w:r>
        <w:rPr/>
        <w:t>A1</w:t>
      </w:r>
      <w:r>
        <w:rPr>
          <w:rFonts w:hint="eastAsia"/>
        </w:rPr>
        <w:t>×w</w:t>
      </w:r>
      <w:r>
        <w:rPr/>
        <w:t>2]</w:t>
      </w:r>
      <w:r>
        <w:rPr/>
        <w:t>区间的投标人报价，计算偏差在算术平均值</w:t>
      </w:r>
      <w:r>
        <w:rPr/>
        <w:t>[A1</w:t>
      </w:r>
      <w:r>
        <w:rPr>
          <w:rFonts w:hint="eastAsia"/>
        </w:rPr>
        <w:t>×w</w:t>
      </w:r>
      <w:r>
        <w:rPr/>
        <w:t>1</w:t>
      </w:r>
      <w:r>
        <w:rPr/>
        <w:t>，</w:t>
      </w:r>
      <w:r>
        <w:rPr/>
        <w:t>A1</w:t>
      </w:r>
      <w:r>
        <w:rPr>
          <w:rFonts w:hint="eastAsia"/>
        </w:rPr>
        <w:t>×w</w:t>
      </w:r>
      <w:r>
        <w:rPr/>
        <w:t>2]</w:t>
      </w:r>
      <w:r>
        <w:rPr/>
        <w:t>区间以内的投标人评标价的算术平均值</w:t>
      </w:r>
      <w:r>
        <w:rPr/>
        <w:t>A2</w:t>
      </w:r>
      <w:r>
        <w:rPr/>
        <w:t>，以</w:t>
      </w:r>
      <w:r>
        <w:rPr/>
        <w:t>A2×(1</w:t>
      </w:r>
      <w:r>
        <w:rPr>
          <w:rFonts w:hint="eastAsia"/>
        </w:rPr>
        <w:t>+c</w:t>
      </w:r>
      <w:r>
        <w:rPr/>
        <w:t>)</w:t>
      </w:r>
      <w:r>
        <w:rPr/>
        <w:t>为基准价；</w:t>
      </w:r>
    </w:p>
    <w:p>
      <w:pPr>
        <w:pStyle w:val="Normal"/>
        <w:spacing w:lineRule="auto" w:line="360" w:before="120" w:after="0"/>
        <w:ind w:firstLine="418" w:end="0"/>
        <w:rPr/>
      </w:pPr>
      <w:r>
        <w:rPr/>
        <w:t>若所有进入详评的评标价均在</w:t>
      </w:r>
      <w:r>
        <w:rPr/>
        <w:t>[A1</w:t>
      </w:r>
      <w:r>
        <w:rPr>
          <w:rFonts w:hint="eastAsia"/>
        </w:rPr>
        <w:t>×w</w:t>
      </w:r>
      <w:r>
        <w:rPr/>
        <w:t>1</w:t>
      </w:r>
      <w:r>
        <w:rPr/>
        <w:t>，</w:t>
      </w:r>
      <w:r>
        <w:rPr/>
        <w:t>A1</w:t>
      </w:r>
      <w:r>
        <w:rPr>
          <w:rFonts w:hint="eastAsia"/>
        </w:rPr>
        <w:t>×w</w:t>
      </w:r>
      <w:r>
        <w:rPr/>
        <w:t>2]</w:t>
      </w:r>
      <w:r>
        <w:rPr/>
        <w:t>区间以外，则</w:t>
      </w:r>
      <w:r>
        <w:rPr/>
        <w:t>A1×(1</w:t>
      </w:r>
      <w:r>
        <w:rPr>
          <w:rFonts w:hint="eastAsia"/>
        </w:rPr>
        <w:t>+c</w:t>
      </w:r>
      <w:r>
        <w:rPr/>
        <w:t>)</w:t>
      </w:r>
      <w:r>
        <w:rPr/>
        <w:t>作为基准价。</w:t>
      </w:r>
    </w:p>
    <w:p>
      <w:pPr>
        <w:pStyle w:val="Normal"/>
        <w:spacing w:lineRule="auto" w:line="360" w:before="120" w:after="0"/>
        <w:ind w:firstLine="418" w:end="0"/>
        <w:rPr/>
      </w:pPr>
      <w:r>
        <w:rPr/>
        <w:t>价格部分得分</w:t>
      </w:r>
      <w:r>
        <w:rPr/>
        <w:t>=100-100×n×|</w:t>
      </w:r>
      <w:r>
        <w:rPr/>
        <w:t>投标人的评标总价</w:t>
      </w:r>
      <w:r>
        <w:rPr/>
        <w:t>-</w:t>
      </w:r>
      <w:r>
        <w:rPr/>
        <w:t>基准价</w:t>
      </w:r>
      <w:r>
        <w:rPr/>
        <w:t>|/</w:t>
      </w:r>
      <w:r>
        <w:rPr/>
        <w:t>基准价；</w:t>
      </w:r>
    </w:p>
    <w:p>
      <w:pPr>
        <w:pStyle w:val="Normal"/>
        <w:spacing w:lineRule="auto" w:line="360" w:before="120" w:after="0"/>
        <w:ind w:firstLine="418" w:end="0"/>
        <w:rPr/>
      </w:pPr>
      <w:r>
        <w:rPr/>
        <w:t>当投标人的评标总价＞</w:t>
      </w:r>
      <w:r>
        <w:rPr/>
        <w:t>=</w:t>
      </w:r>
      <w:r>
        <w:rPr/>
        <w:t>基准价，</w:t>
      </w:r>
      <w:r>
        <w:rPr/>
        <w:t>n=n1</w:t>
      </w:r>
      <w:r>
        <w:rPr/>
        <w:t>；</w:t>
      </w:r>
    </w:p>
    <w:p>
      <w:pPr>
        <w:pStyle w:val="Normal"/>
        <w:spacing w:lineRule="auto" w:line="360" w:before="120" w:after="0"/>
        <w:ind w:firstLine="418" w:end="0"/>
        <w:rPr/>
      </w:pPr>
      <w:r>
        <w:rPr/>
        <w:t>当投标人的评标总价</w:t>
      </w:r>
      <w:r>
        <w:rPr/>
        <w:t>&lt;</w:t>
      </w:r>
      <w:r>
        <w:rPr/>
        <w:t>基准价，</w:t>
      </w:r>
      <w:r>
        <w:rPr/>
        <w:t>n=n2</w:t>
      </w:r>
      <w:r>
        <w:rPr/>
        <w:t>；</w:t>
      </w:r>
    </w:p>
    <w:p>
      <w:pPr>
        <w:pStyle w:val="Normal"/>
        <w:spacing w:lineRule="auto" w:line="360" w:before="120" w:after="0"/>
        <w:ind w:firstLine="418" w:end="0"/>
        <w:rPr/>
      </w:pPr>
      <w:r>
        <w:rPr/>
        <w:t>当计算出的价格部分得分</w:t>
      </w:r>
      <w:r>
        <w:rPr/>
        <w:t>&lt;0</w:t>
      </w:r>
      <w:r>
        <w:rPr/>
        <w:t>，按</w:t>
      </w:r>
      <w:r>
        <w:rPr/>
        <w:t>0</w:t>
      </w:r>
      <w:r>
        <w:rPr/>
        <w:t>分计。</w:t>
      </w:r>
    </w:p>
    <w:p>
      <w:pPr>
        <w:pStyle w:val="Style15"/>
        <w:rPr>
          <w:rFonts w:ascii="Calibri" w:hAnsi="Calibri" w:eastAsia="宋体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hint="eastAsia"/>
          <w:kern w:val="2"/>
          <w:sz w:val="21"/>
          <w:szCs w:val="24"/>
          <w:lang w:val="en-US" w:eastAsia="zh-CN" w:bidi="ar-SA"/>
        </w:rPr>
        <w:t>其中，</w:t>
      </w:r>
      <w:r>
        <w:rPr>
          <w:rFonts w:eastAsia="宋体" w:cs="Times New Roman" w:hint="eastAsia" w:ascii="Calibri" w:hAnsi="Calibri"/>
          <w:kern w:val="2"/>
          <w:sz w:val="21"/>
          <w:szCs w:val="24"/>
          <w:lang w:val="en-US" w:eastAsia="zh-CN" w:bidi="ar-SA"/>
        </w:rPr>
        <w:t>w1=0.8</w:t>
      </w:r>
      <w:r>
        <w:rPr>
          <w:rFonts w:ascii="Calibri" w:hAnsi="Calibri"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eastAsia="宋体" w:cs="Times New Roman" w:hint="eastAsia" w:ascii="Calibri" w:hAnsi="Calibri"/>
          <w:kern w:val="2"/>
          <w:sz w:val="21"/>
          <w:szCs w:val="24"/>
          <w:lang w:val="en-US" w:eastAsia="zh-CN" w:bidi="ar-SA"/>
        </w:rPr>
        <w:t>w2=1.15</w:t>
      </w:r>
      <w:r>
        <w:rPr>
          <w:rFonts w:ascii="Calibri" w:hAnsi="Calibri"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eastAsia="宋体" w:cs="Times New Roman" w:hint="eastAsia" w:ascii="Calibri" w:hAnsi="Calibri"/>
          <w:kern w:val="2"/>
          <w:sz w:val="21"/>
          <w:szCs w:val="24"/>
          <w:lang w:val="en-US" w:eastAsia="zh-CN" w:bidi="ar-SA"/>
        </w:rPr>
        <w:t>n1=1</w:t>
      </w:r>
      <w:r>
        <w:rPr>
          <w:rFonts w:ascii="Calibri" w:hAnsi="Calibri"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eastAsia="宋体" w:cs="Times New Roman" w:hint="eastAsia" w:ascii="Calibri" w:hAnsi="Calibri"/>
          <w:kern w:val="2"/>
          <w:sz w:val="21"/>
          <w:szCs w:val="24"/>
          <w:lang w:val="en-US" w:eastAsia="zh-CN" w:bidi="ar-SA"/>
        </w:rPr>
        <w:t>n2=0.5</w:t>
      </w:r>
      <w:r>
        <w:rPr>
          <w:rFonts w:ascii="Calibri" w:hAnsi="Calibri"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eastAsia="宋体" w:cs="Times New Roman" w:hint="eastAsia" w:ascii="Calibri" w:hAnsi="Calibri"/>
          <w:kern w:val="2"/>
          <w:sz w:val="21"/>
          <w:szCs w:val="24"/>
          <w:lang w:val="en-US" w:eastAsia="zh-CN" w:bidi="ar-SA"/>
        </w:rPr>
        <w:t>c=0</w:t>
      </w:r>
    </w:p>
    <w:p>
      <w:pPr>
        <w:pStyle w:val="BodyText"/>
        <w:rPr>
          <w:rFonts w:ascii="宋体" w:hAnsi="宋体" w:eastAsia="宋体" w:cs="Times New Roman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宋体" w:hAnsi="宋体" w:cs="Times New Roman" w:hint="eastAsia"/>
          <w:color w:val="000000"/>
          <w:kern w:val="2"/>
          <w:sz w:val="22"/>
          <w:szCs w:val="24"/>
          <w:lang w:val="en-US" w:eastAsia="zh-CN" w:bidi="ar-SA"/>
        </w:rPr>
        <w:t>结束</w:t>
      </w:r>
    </w:p>
    <w:p>
      <w:pPr>
        <w:pStyle w:val="BodyText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b/>
          <w:color w:val="000000"/>
          <w:sz w:val="36"/>
          <w:szCs w:val="36"/>
        </w:rPr>
      </w:pPr>
      <w:r>
        <w:rPr>
          <w:rFonts w:cs="宋体" w:hint="eastAsia"/>
          <w:b/>
          <w:color w:val="000000"/>
          <w:sz w:val="36"/>
          <w:szCs w:val="36"/>
          <w:lang w:val="en-US" w:eastAsia="zh-CN"/>
        </w:rPr>
        <w:t>Ⅱ</w:t>
      </w:r>
      <w:r>
        <w:rPr>
          <w:rFonts w:cs="宋体" w:hint="eastAsia"/>
          <w:b/>
          <w:color w:val="000000"/>
          <w:sz w:val="36"/>
          <w:szCs w:val="36"/>
          <w:lang w:val="en-US" w:eastAsia="zh-CN"/>
        </w:rPr>
        <w:t>、</w:t>
      </w:r>
      <w:r>
        <w:rPr>
          <w:rFonts w:ascii="宋体" w:hAnsi="宋体" w:cs="宋体" w:hint="eastAsia"/>
          <w:b/>
          <w:color w:val="000000"/>
          <w:sz w:val="36"/>
          <w:szCs w:val="36"/>
        </w:rPr>
        <w:t>合同条款及格式</w:t>
      </w:r>
    </w:p>
    <w:p>
      <w:pPr>
        <w:pStyle w:val="Normal"/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72.75pt;height:66pt" filled="f" o:ole="">
            <v:imagedata r:id="rId4" o:title=""/>
          </v:shape>
          <o:OLEObject Type="Embed" ProgID="" ShapeID="ole_rId3" DrawAspect="Icon" ObjectID="_927277136" r:id="rId3"/>
        </w:object>
      </w:r>
    </w:p>
    <w:p>
      <w:pPr>
        <w:pStyle w:val="BodyText"/>
        <w:numPr>
          <w:ilvl w:val="0"/>
          <w:numId w:val="0"/>
        </w:numPr>
        <w:ind w:firstLineChars="0" w:firstLine="0" w:startChars="0" w:start="0" w:endChars="0" w:end="0"/>
        <w:rPr>
          <w:rFonts w:ascii="宋体" w:hAnsi="宋体" w:eastAsia="宋体" w:cs="宋体" w:hint="eastAsia"/>
          <w:b/>
          <w:color w:val="000000"/>
          <w:sz w:val="36"/>
          <w:szCs w:val="36"/>
          <w:highlight w:val="none"/>
          <w:lang w:val="en-US" w:eastAsia="zh-CN"/>
        </w:rPr>
      </w:pPr>
      <w:r>
        <w:rPr>
          <w:rFonts w:cs="宋体" w:hint="eastAsia"/>
          <w:b/>
          <w:color w:val="000000"/>
          <w:sz w:val="36"/>
          <w:szCs w:val="36"/>
          <w:lang w:val="en-US" w:eastAsia="zh-CN"/>
        </w:rPr>
        <w:t>Ⅲ</w:t>
      </w:r>
      <w:r>
        <w:rPr>
          <w:rFonts w:cs="宋体" w:hint="eastAsia"/>
          <w:b/>
          <w:color w:val="000000"/>
          <w:sz w:val="36"/>
          <w:szCs w:val="36"/>
          <w:lang w:val="en-US" w:eastAsia="zh-CN"/>
        </w:rPr>
        <w:t>、</w:t>
      </w:r>
      <w:r>
        <w:rPr>
          <w:rFonts w:ascii="宋体" w:hAnsi="宋体" w:cs="宋体" w:hint="eastAsia"/>
          <w:b/>
          <w:color w:val="000000"/>
          <w:sz w:val="36"/>
          <w:szCs w:val="36"/>
        </w:rPr>
        <w:t>委托人要求（技术标准和要求）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2764" w:leader="none"/>
          <w:tab w:val="center" w:pos="4213" w:leader="none"/>
        </w:tabs>
        <w:kinsoku w:val="true"/>
        <w:overflowPunct w:val="true"/>
        <w:autoSpaceDE w:val="true"/>
        <w:bidi w:val="0"/>
        <w:snapToGrid w:val="false"/>
        <w:spacing w:lineRule="auto" w:line="240"/>
        <w:ind w:firstLineChars="200" w:startChars="0" w:start="0" w:endChars="0" w:end="0"/>
        <w:jc w:val="start"/>
        <w:textAlignment w:val="auto"/>
        <w:rPr>
          <w:rFonts w:eastAsia="黑体" w:hint="eastAsia"/>
          <w:color w:val="FF0000"/>
          <w:highlight w:val="none"/>
          <w:lang w:val="en-US" w:eastAsia="zh-CN"/>
        </w:rPr>
      </w:pPr>
      <w:r>
        <w:rPr>
          <w:rFonts w:hint="eastAsia" w:eastAsia="黑体"/>
          <w:color w:val="FF0000"/>
          <w:lang w:val="en-US" w:eastAsia="zh-CN"/>
        </w:rPr>
        <w:t>技术标准详见技术规范书；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2764" w:leader="none"/>
          <w:tab w:val="center" w:pos="4213" w:leader="none"/>
        </w:tabs>
        <w:kinsoku w:val="true"/>
        <w:overflowPunct w:val="true"/>
        <w:autoSpaceDE w:val="true"/>
        <w:bidi w:val="0"/>
        <w:snapToGrid w:val="false"/>
        <w:spacing w:lineRule="auto" w:line="240"/>
        <w:ind w:firstLineChars="200" w:startChars="0" w:start="0" w:endChars="0" w:end="0"/>
        <w:jc w:val="start"/>
        <w:textAlignment w:val="auto"/>
        <w:rPr>
          <w:rFonts w:eastAsia="黑体"/>
          <w:color w:val="000000"/>
          <w:highlight w:val="none"/>
          <w:lang w:val="en-US" w:eastAsia="zh-CN"/>
        </w:rPr>
      </w:pPr>
      <w:r>
        <w:rPr>
          <w:rFonts w:eastAsia="黑体" w:hint="eastAsia"/>
          <w:color w:val="000000"/>
          <w:lang w:val="en-US" w:eastAsia="zh-CN"/>
        </w:rPr>
        <w:t>0425139001003-2004</w:t>
      </w:r>
      <w:r>
        <w:rPr>
          <w:rFonts w:hint="eastAsia" w:eastAsia="黑体"/>
          <w:color w:val="000000"/>
          <w:lang w:val="en-US" w:eastAsia="zh-CN"/>
        </w:rPr>
        <w:t>、</w:t>
      </w:r>
      <w:r>
        <w:rPr>
          <w:rFonts w:eastAsia="黑体" w:hint="eastAsia"/>
          <w:color w:val="000000"/>
          <w:lang w:val="en-US" w:eastAsia="zh-CN"/>
        </w:rPr>
        <w:t>0425139001003-2053</w:t>
      </w:r>
      <w:r>
        <w:rPr>
          <w:rFonts w:hint="eastAsia" w:eastAsia="黑体"/>
          <w:color w:val="000000"/>
          <w:lang w:val="en-US" w:eastAsia="zh-CN"/>
        </w:rPr>
        <w:t>、</w:t>
      </w:r>
      <w:r>
        <w:rPr>
          <w:rFonts w:eastAsia="黑体" w:hint="eastAsia"/>
          <w:color w:val="000000"/>
          <w:lang w:val="en-US" w:eastAsia="zh-CN"/>
        </w:rPr>
        <w:t>0425139001003-2087</w:t>
      </w:r>
      <w:r>
        <w:rPr>
          <w:rFonts w:hint="eastAsia" w:eastAsia="黑体"/>
          <w:color w:val="000000"/>
          <w:lang w:val="en-US" w:eastAsia="zh-CN"/>
        </w:rPr>
        <w:t>标段：</w:t>
      </w:r>
    </w:p>
    <w:p>
      <w:pPr>
        <w:pStyle w:val="Style15"/>
        <w:rPr/>
      </w:pPr>
      <w:r>
        <w:rPr>
          <w:rFonts w:hint="eastAsia"/>
          <w:lang w:val="en-US" w:eastAsia="zh-CN"/>
        </w:rPr>
        <w:drawing>
          <wp:inline distT="0" distB="0" distL="0" distR="0">
            <wp:extent cx="920750" cy="831850"/>
            <wp:effectExtent l="0" t="0" r="0" b="0"/>
            <wp:docPr id="2" name="Objec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9" t="-44" r="-39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Microsoft JhengHei">
    <w:charset w:val="88"/>
    <w:family w:val="swiss"/>
    <w:pitch w:val="default"/>
  </w:font>
  <w:font w:name="Wingdings">
    <w:charset w:val="02"/>
    <w:family w:val="auto"/>
    <w:pitch w:val="default"/>
  </w:font>
  <w:font w:name="等线">
    <w:charset w:val="86"/>
    <w:family w:val="auto"/>
    <w:pitch w:val="default"/>
  </w:font>
  <w:font w:name="Times New Roman">
    <w:charset w:val="86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227" w:hanging="227"/>
      </w:pPr>
      <w:rPr>
        <w:rFonts w:ascii="等线" w:hAnsi="等线" w:eastAsia="等线" w:cs="等线"/>
      </w:rPr>
    </w:lvl>
    <w:lvl w:ilvl="1">
      <w:start w:val="1"/>
      <w:numFmt w:val="lowerLetter"/>
      <w:suff w:val="space"/>
      <w:lvlText w:val="%2."/>
      <w:lvlJc w:val="start"/>
      <w:pPr>
        <w:tabs>
          <w:tab w:val="num" w:pos="0"/>
        </w:tabs>
        <w:ind w:start="680" w:hanging="226"/>
      </w:pPr>
      <w:rPr>
        <w:rFonts w:ascii="Times New Roman" w:hAnsi="Times New Roman" w:cs="Times New Roman"/>
      </w:rPr>
    </w:lvl>
    <w:lvl w:ilvl="2">
      <w:start w:val="1"/>
      <w:numFmt w:val="lowerRoman"/>
      <w:suff w:val="space"/>
      <w:lvlText w:val="%3."/>
      <w:lvlJc w:val="start"/>
      <w:pPr>
        <w:tabs>
          <w:tab w:val="num" w:pos="0"/>
        </w:tabs>
        <w:ind w:star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start"/>
      <w:pPr>
        <w:tabs>
          <w:tab w:val="num" w:pos="0"/>
        </w:tabs>
        <w:ind w:star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start"/>
      <w:pPr>
        <w:tabs>
          <w:tab w:val="num" w:pos="0"/>
        </w:tabs>
        <w:ind w:star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start"/>
      <w:pPr>
        <w:tabs>
          <w:tab w:val="num" w:pos="0"/>
        </w:tabs>
        <w:ind w:star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start"/>
      <w:pPr>
        <w:tabs>
          <w:tab w:val="num" w:pos="0"/>
        </w:tabs>
        <w:ind w:start="3856" w:hanging="227"/>
      </w:pPr>
      <w:rPr>
        <w:rFonts w:hint="eastAsia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227" w:hanging="227"/>
      </w:pPr>
      <w:rPr>
        <w:rFonts w:ascii="等线" w:hAnsi="等线" w:eastAsia="等线" w:cs="等线"/>
      </w:rPr>
    </w:lvl>
    <w:lvl w:ilvl="1">
      <w:start w:val="1"/>
      <w:numFmt w:val="lowerLetter"/>
      <w:suff w:val="space"/>
      <w:lvlText w:val="%2."/>
      <w:lvlJc w:val="start"/>
      <w:pPr>
        <w:tabs>
          <w:tab w:val="num" w:pos="0"/>
        </w:tabs>
        <w:ind w:start="680" w:hanging="226"/>
      </w:pPr>
      <w:rPr>
        <w:rFonts w:ascii="Times New Roman" w:hAnsi="Times New Roman" w:cs="Times New Roman"/>
      </w:rPr>
    </w:lvl>
    <w:lvl w:ilvl="2">
      <w:start w:val="1"/>
      <w:numFmt w:val="lowerRoman"/>
      <w:suff w:val="space"/>
      <w:lvlText w:val="%3."/>
      <w:lvlJc w:val="start"/>
      <w:pPr>
        <w:tabs>
          <w:tab w:val="num" w:pos="0"/>
        </w:tabs>
        <w:ind w:star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start"/>
      <w:pPr>
        <w:tabs>
          <w:tab w:val="num" w:pos="0"/>
        </w:tabs>
        <w:ind w:star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start"/>
      <w:pPr>
        <w:tabs>
          <w:tab w:val="num" w:pos="0"/>
        </w:tabs>
        <w:ind w:star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start"/>
      <w:pPr>
        <w:tabs>
          <w:tab w:val="num" w:pos="0"/>
        </w:tabs>
        <w:ind w:star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start"/>
      <w:pPr>
        <w:tabs>
          <w:tab w:val="num" w:pos="0"/>
        </w:tabs>
        <w:ind w:start="3856" w:hanging="227"/>
      </w:pPr>
      <w:rPr>
        <w:rFonts w:hint="eastAsia"/>
      </w:rPr>
    </w:lvl>
  </w:abstractNum>
  <w:abstractNum w:abstractNumId="4">
    <w:lvl w:ilvl="0">
      <w:start w:val="5"/>
      <w:numFmt w:val="decimal"/>
      <w:lvlText w:val="%1."/>
      <w:lvlJc w:val="start"/>
      <w:pPr>
        <w:tabs>
          <w:tab w:val="num" w:pos="0"/>
        </w:tabs>
        <w:ind w:start="227" w:hanging="227"/>
      </w:pPr>
      <w:rPr>
        <w:rFonts w:ascii="等线" w:hAnsi="等线" w:eastAsia="等线" w:cs="等线"/>
      </w:rPr>
    </w:lvl>
    <w:lvl w:ilvl="1">
      <w:start w:val="1"/>
      <w:numFmt w:val="lowerLetter"/>
      <w:suff w:val="space"/>
      <w:lvlText w:val="%2."/>
      <w:lvlJc w:val="start"/>
      <w:pPr>
        <w:tabs>
          <w:tab w:val="num" w:pos="0"/>
        </w:tabs>
        <w:ind w:start="680" w:hanging="226"/>
      </w:pPr>
      <w:rPr>
        <w:rFonts w:ascii="Times New Roman" w:hAnsi="Times New Roman" w:cs="Times New Roman"/>
      </w:rPr>
    </w:lvl>
    <w:lvl w:ilvl="2">
      <w:start w:val="1"/>
      <w:numFmt w:val="lowerRoman"/>
      <w:suff w:val="space"/>
      <w:lvlText w:val="%3."/>
      <w:lvlJc w:val="start"/>
      <w:pPr>
        <w:tabs>
          <w:tab w:val="num" w:pos="0"/>
        </w:tabs>
        <w:ind w:star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start"/>
      <w:pPr>
        <w:tabs>
          <w:tab w:val="num" w:pos="0"/>
        </w:tabs>
        <w:ind w:star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start"/>
      <w:pPr>
        <w:tabs>
          <w:tab w:val="num" w:pos="0"/>
        </w:tabs>
        <w:ind w:star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start"/>
      <w:pPr>
        <w:tabs>
          <w:tab w:val="num" w:pos="0"/>
        </w:tabs>
        <w:ind w:star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start"/>
      <w:pPr>
        <w:tabs>
          <w:tab w:val="num" w:pos="0"/>
        </w:tabs>
        <w:ind w:start="3856" w:hanging="227"/>
      </w:pPr>
      <w:rPr>
        <w:rFonts w:hint="eastAsi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27" w:hanging="227"/>
      </w:pPr>
      <w:rPr>
        <w:rFonts w:ascii="等线" w:hAnsi="等线" w:eastAsia="等线" w:cs="等线"/>
      </w:rPr>
    </w:lvl>
    <w:lvl w:ilvl="1">
      <w:start w:val="1"/>
      <w:numFmt w:val="lowerLetter"/>
      <w:suff w:val="space"/>
      <w:lvlText w:val="%2."/>
      <w:lvlJc w:val="start"/>
      <w:pPr>
        <w:tabs>
          <w:tab w:val="num" w:pos="0"/>
        </w:tabs>
        <w:ind w:start="680" w:hanging="226"/>
      </w:pPr>
      <w:rPr>
        <w:rFonts w:ascii="Times New Roman" w:hAnsi="Times New Roman" w:cs="Times New Roman"/>
      </w:rPr>
    </w:lvl>
    <w:lvl w:ilvl="2">
      <w:start w:val="1"/>
      <w:numFmt w:val="lowerRoman"/>
      <w:suff w:val="space"/>
      <w:lvlText w:val="%3."/>
      <w:lvlJc w:val="start"/>
      <w:pPr>
        <w:tabs>
          <w:tab w:val="num" w:pos="0"/>
        </w:tabs>
        <w:ind w:star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start"/>
      <w:pPr>
        <w:tabs>
          <w:tab w:val="num" w:pos="0"/>
        </w:tabs>
        <w:ind w:star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start"/>
      <w:pPr>
        <w:tabs>
          <w:tab w:val="num" w:pos="0"/>
        </w:tabs>
        <w:ind w:star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start"/>
      <w:pPr>
        <w:tabs>
          <w:tab w:val="num" w:pos="0"/>
        </w:tabs>
        <w:ind w:star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start"/>
      <w:pPr>
        <w:tabs>
          <w:tab w:val="num" w:pos="0"/>
        </w:tabs>
        <w:ind w:start="3856" w:hanging="227"/>
      </w:pPr>
      <w:rPr>
        <w:rFonts w:hint="eastAsia"/>
      </w:rPr>
    </w:lvl>
  </w:abstractNum>
  <w:abstractNum w:abstractNumId="6">
    <w:lvl w:ilvl="0">
      <w:start w:val="3"/>
      <w:numFmt w:val="decimal"/>
      <w:lvlText w:val="%1."/>
      <w:lvlJc w:val="start"/>
      <w:pPr>
        <w:tabs>
          <w:tab w:val="num" w:pos="0"/>
        </w:tabs>
        <w:ind w:start="227" w:hanging="227"/>
      </w:pPr>
      <w:rPr>
        <w:rFonts w:ascii="等线" w:hAnsi="等线" w:eastAsia="等线" w:cs="等线"/>
      </w:rPr>
    </w:lvl>
    <w:lvl w:ilvl="1">
      <w:start w:val="1"/>
      <w:numFmt w:val="lowerLetter"/>
      <w:suff w:val="space"/>
      <w:lvlText w:val="%2."/>
      <w:lvlJc w:val="start"/>
      <w:pPr>
        <w:tabs>
          <w:tab w:val="num" w:pos="0"/>
        </w:tabs>
        <w:ind w:start="680" w:hanging="226"/>
      </w:pPr>
      <w:rPr>
        <w:rFonts w:ascii="Times New Roman" w:hAnsi="Times New Roman" w:cs="Times New Roman"/>
      </w:rPr>
    </w:lvl>
    <w:lvl w:ilvl="2">
      <w:start w:val="1"/>
      <w:numFmt w:val="lowerRoman"/>
      <w:suff w:val="space"/>
      <w:lvlText w:val="%3."/>
      <w:lvlJc w:val="start"/>
      <w:pPr>
        <w:tabs>
          <w:tab w:val="num" w:pos="0"/>
        </w:tabs>
        <w:ind w:star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start"/>
      <w:pPr>
        <w:tabs>
          <w:tab w:val="num" w:pos="0"/>
        </w:tabs>
        <w:ind w:star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start"/>
      <w:pPr>
        <w:tabs>
          <w:tab w:val="num" w:pos="0"/>
        </w:tabs>
        <w:ind w:star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start"/>
      <w:pPr>
        <w:tabs>
          <w:tab w:val="num" w:pos="0"/>
        </w:tabs>
        <w:ind w:star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start"/>
      <w:pPr>
        <w:tabs>
          <w:tab w:val="num" w:pos="0"/>
        </w:tabs>
        <w:ind w:start="3856" w:hanging="227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ListParagraph"/>
    <w:next w:val="Normal"/>
    <w:qFormat/>
    <w:pPr>
      <w:numPr>
        <w:ilvl w:val="0"/>
        <w:numId w:val="1"/>
      </w:numPr>
      <w:spacing w:lineRule="auto" w:line="360"/>
      <w:ind w:firstLineChars="0" w:firstLine="0" w:startChars="0" w:start="0" w:endChars="0" w:end="0"/>
      <w:outlineLvl w:val="0"/>
    </w:pPr>
    <w:rPr>
      <w:rFonts w:ascii="宋体" w:hAnsi="宋体" w:eastAsia="宋体" w:cs="宋体"/>
      <w:b/>
      <w:bCs/>
      <w:color w:val="000000"/>
      <w:sz w:val="22"/>
    </w:rPr>
  </w:style>
  <w:style w:type="paragraph" w:styleId="Heading2">
    <w:name w:val="heading 2"/>
    <w:basedOn w:val="Normal"/>
    <w:next w:val="Normal"/>
    <w:qFormat/>
    <w:pPr>
      <w:autoSpaceDE w:val="false"/>
      <w:ind w:hanging="401" w:start="641" w:end="0"/>
      <w:jc w:val="start"/>
      <w:outlineLvl w:val="1"/>
    </w:pPr>
    <w:rPr>
      <w:rFonts w:ascii="Microsoft JhengHei" w:hAnsi="Microsoft JhengHei" w:eastAsia="Microsoft JhengHei" w:cs="Microsoft JhengHei"/>
      <w:b/>
      <w:bCs/>
      <w:kern w:val="0"/>
      <w:sz w:val="32"/>
      <w:szCs w:val="32"/>
      <w:lang w:val="zh-CN"/>
    </w:rPr>
  </w:style>
  <w:style w:type="character" w:styleId="WW8Num1z0">
    <w:name w:val="WW8Num1z0"/>
    <w:qFormat/>
    <w:rPr>
      <w:rFonts w:ascii="Wingdings" w:hAnsi="Wingdings" w:eastAsia="Wingdings" w:cs="Wingdings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等线" w:hAnsi="等线" w:eastAsia="等线" w:cs="等线"/>
    </w:rPr>
  </w:style>
  <w:style w:type="character" w:styleId="WW8Num2z1">
    <w:name w:val="WW8Num2z1"/>
    <w:qFormat/>
    <w:rPr>
      <w:rFonts w:ascii="Times New Roman" w:hAnsi="Times New Roman" w:cs="Times New Roman"/>
    </w:rPr>
  </w:style>
  <w:style w:type="character" w:styleId="WW8Num2z2">
    <w:name w:val="WW8Num2z2"/>
    <w:qFormat/>
    <w:rPr>
      <w:rFonts w:hint="eastAsia"/>
    </w:rPr>
  </w:style>
  <w:style w:type="character" w:styleId="WW8Num3z0">
    <w:name w:val="WW8Num3z0"/>
    <w:qFormat/>
    <w:rPr>
      <w:rFonts w:ascii="等线" w:hAnsi="等线" w:eastAsia="等线" w:cs="等线"/>
    </w:rPr>
  </w:style>
  <w:style w:type="character" w:styleId="WW8Num3z1">
    <w:name w:val="WW8Num3z1"/>
    <w:qFormat/>
    <w:rPr>
      <w:rFonts w:ascii="Times New Roman" w:hAnsi="Times New Roman" w:cs="Times New Roman"/>
    </w:rPr>
  </w:style>
  <w:style w:type="character" w:styleId="WW8Num3z2">
    <w:name w:val="WW8Num3z2"/>
    <w:qFormat/>
    <w:rPr>
      <w:rFonts w:hint="eastAsia"/>
    </w:rPr>
  </w:style>
  <w:style w:type="character" w:styleId="WW8Num4z0">
    <w:name w:val="WW8Num4z0"/>
    <w:qFormat/>
    <w:rPr>
      <w:rFonts w:ascii="等线" w:hAnsi="等线" w:eastAsia="等线" w:cs="等线"/>
    </w:rPr>
  </w:style>
  <w:style w:type="character" w:styleId="WW8Num4z1">
    <w:name w:val="WW8Num4z1"/>
    <w:qFormat/>
    <w:rPr>
      <w:rFonts w:ascii="Times New Roman" w:hAnsi="Times New Roman" w:cs="Times New Roman"/>
    </w:rPr>
  </w:style>
  <w:style w:type="character" w:styleId="WW8Num4z2">
    <w:name w:val="WW8Num4z2"/>
    <w:qFormat/>
    <w:rPr>
      <w:rFonts w:hint="eastAsia"/>
    </w:rPr>
  </w:style>
  <w:style w:type="character" w:styleId="WW8Num5z0">
    <w:name w:val="WW8Num5z0"/>
    <w:qFormat/>
    <w:rPr>
      <w:rFonts w:ascii="等线" w:hAnsi="等线" w:eastAsia="等线" w:cs="等线"/>
    </w:rPr>
  </w:style>
  <w:style w:type="character" w:styleId="WW8Num5z1">
    <w:name w:val="WW8Num5z1"/>
    <w:qFormat/>
    <w:rPr>
      <w:rFonts w:ascii="Times New Roman" w:hAnsi="Times New Roman" w:cs="Times New Roman"/>
    </w:rPr>
  </w:style>
  <w:style w:type="character" w:styleId="WW8Num5z2">
    <w:name w:val="WW8Num5z2"/>
    <w:qFormat/>
    <w:rPr>
      <w:rFonts w:hint="eastAsia"/>
    </w:rPr>
  </w:style>
  <w:style w:type="character" w:styleId="WW8Num6z0">
    <w:name w:val="WW8Num6z0"/>
    <w:qFormat/>
    <w:rPr>
      <w:rFonts w:ascii="等线" w:hAnsi="等线" w:eastAsia="等线" w:cs="等线"/>
    </w:rPr>
  </w:style>
  <w:style w:type="character" w:styleId="WW8Num6z1">
    <w:name w:val="WW8Num6z1"/>
    <w:qFormat/>
    <w:rPr>
      <w:rFonts w:ascii="Times New Roman" w:hAnsi="Times New Roman" w:cs="Times New Roman"/>
    </w:rPr>
  </w:style>
  <w:style w:type="character" w:styleId="WW8Num6z2">
    <w:name w:val="WW8Num6z2"/>
    <w:qFormat/>
    <w:rPr>
      <w:rFonts w:hint="eastAsia"/>
    </w:rPr>
  </w:style>
  <w:style w:type="character" w:styleId="Style12">
    <w:name w:val="默认段落字体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next w:val="Normal"/>
    <w:pPr>
      <w:autoSpaceDE w:val="false"/>
      <w:jc w:val="start"/>
    </w:pPr>
    <w:rPr>
      <w:rFonts w:ascii="宋体" w:hAnsi="宋体" w:cs="宋体"/>
      <w:kern w:val="0"/>
      <w:szCs w:val="21"/>
      <w:lang w:val="zh-CN" w:bidi="zh-C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5">
    <w:name w:val="正文缩进"/>
    <w:basedOn w:val="Normal"/>
    <w:next w:val="BodyText"/>
    <w:qFormat/>
    <w:pPr>
      <w:ind w:firstLine="420" w:start="0" w:end="0"/>
    </w:pPr>
    <w:rPr>
      <w:rFonts w:ascii="Times New Roman" w:hAnsi="Times New Roman" w:cs="Times New Roman"/>
      <w:szCs w:val="24"/>
    </w:rPr>
  </w:style>
  <w:style w:type="paragraph" w:styleId="0">
    <w:name w:val="0"/>
    <w:basedOn w:val="Normal"/>
    <w:qFormat/>
    <w:pPr>
      <w:widowControl/>
    </w:pPr>
    <w:rPr>
      <w:kern w:val="0"/>
    </w:rPr>
  </w:style>
  <w:style w:type="paragraph" w:styleId="NewNewNewNewNewNewNewNewNew">
    <w:name w:val="正文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 w:hint="eastAsia"/>
      <w:color w:val="auto"/>
      <w:kern w:val="2"/>
      <w:sz w:val="21"/>
      <w:szCs w:val="20"/>
      <w:lang w:val="en-US" w:eastAsia="zh-CN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7200</TotalTime>
  <Application>LibreOffice/25.8.7.3$Windows_X86_64 LibreOffice_project/30742500f2d3eb4366ac312fa33d3dcabdb3eba5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2024-05-07T09:20:56Z</dcterms:created>
  <dc:creator>Administrator</dc:creator>
  <dc:description/>
  <dc:language>zh-CN</dc:language>
  <cp:lastModifiedBy>佟月珍</cp:lastModifiedBy>
  <dcterms:modified xsi:type="dcterms:W3CDTF">2025-05-13T12:35:22Z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4D96EEACAB4F443AB196BD50B2603398</vt:lpwstr>
  </property>
  <property fmtid="{D5CDD505-2E9C-101B-9397-08002B2CF9AE}" pid="3" name="KSOProductBuildVer">
    <vt:lpwstr>2052-11.8.2.8696</vt:lpwstr>
  </property>
</Properties>
</file>