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高速公路广告牌经营管理系统测试与验收方案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color w:val="000000"/>
          <w:sz w:val="24"/>
        </w:rPr>
        <w:t>定义测试层次 核心用例 质量门禁与上线准入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81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3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项目名称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高速公路广告牌经营管理系统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项目负责人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林家明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项目团队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林家明（产品、UI）、李嘉伟（后端）、刘俊义（后端）、祝贺（测试）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文档版本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文档状态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待客户评审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基准日期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2026 年 9 月 16 日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提交对象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文档说明</w:t>
      </w:r>
    </w:p>
    <w:p>
      <w:r>
        <w:rPr>
          <w:rFonts w:ascii="Microsoft YaHei" w:hAnsi="Microsoft YaHei" w:eastAsia="Microsoft YaHei"/>
          <w:color w:val="000000"/>
          <w:sz w:val="21"/>
        </w:rPr>
        <w:t>本文档以 2026 年 9 月 15 日完成的需求调研为基础，记录已经确认的产品、业务、设计或技术决策。客户单位正式名称、客户侧业务负责人和阿里云地域在发布前补齐。</w:t>
      </w:r>
    </w:p>
    <w:p>
      <w:pPr>
        <w:pStyle w:val="Heading1"/>
      </w:pPr>
      <w:r>
        <w:t>一 测试目标</w:t>
      </w:r>
    </w:p>
    <w:p>
      <w:r>
        <w:rPr>
          <w:rFonts w:ascii="Microsoft YaHei" w:hAnsi="Microsoft YaHei" w:eastAsia="Microsoft YaHei"/>
          <w:color w:val="000000"/>
          <w:sz w:val="21"/>
        </w:rPr>
        <w:t>测试重点是证明合同租赁时段、应收实收、核销余额、权限隔离和AI辅助边界正确，而不是只验证页面能够打开。验收以真实业务场景、固定数据集和可复核结果为依据。</w:t>
      </w:r>
    </w:p>
    <w:p>
      <w:pPr>
        <w:pStyle w:val="Heading1"/>
      </w:pPr>
      <w:r>
        <w:t>二 测试层次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249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464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重点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静态检查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Ruff Pyright ESLint TypeScript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格式 类型 安全规则和常见缺陷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单元测试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pytest Vitest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金额 状态 时间重叠 权限和风险规则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集成测试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pytest MySQL Redis OSS Milvus测试环境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事务 约束 适配器和故障降级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接口测试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pytest OpenAPI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输入校验 错误码 权限 幂等与分页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端到端测试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Playwright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登录 建档 签约 核销 AI录入 报表和导出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验收测试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客户业务样本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业务口径 数据核对和可操作性</w:t>
            </w:r>
          </w:p>
        </w:tc>
      </w:tr>
    </w:tbl>
    <w:p>
      <w:pPr>
        <w:spacing w:after="40"/>
      </w:pPr>
    </w:p>
    <w:p>
      <w:pPr>
        <w:pStyle w:val="Heading1"/>
      </w:pPr>
      <w:r>
        <w:t>三 核心验收场景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13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1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005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输入或操作</w:t>
            </w:r>
          </w:p>
        </w:tc>
        <w:tc>
          <w:tcPr>
            <w:tcW w:type="dxa" w:w="289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预期结果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AT-01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广告资源建档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创建点位和两个广告面，补充三个桩号及合规手续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资源可查，状态与合规风险正确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AT-02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多广告面合同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同一合同关联多个广告面并设置不同收费计划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确认后占用租期并生成对应应收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AT-03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租期冲突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为已占用广告面创建重叠合同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系统阻止确认并指出冲突合同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AT-04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部分收款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一条应收由两笔收款完成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未收金额逐次减少，最终结清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AT-05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合并收款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一笔收款核销多条应收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各应收和收款未分配余额正确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AT-06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未知收款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付款客户无法确认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进入待认领，不影响任何客户余额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AT-07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合同变更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已生效合同调整未来收费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原记录保留并生成变更及应收调整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AT-08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退款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从客户挂账发起退款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双人确认后生成退款并更新余额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AT-09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权限隔离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A运营单位用户查询B单位合同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页面和接口均拒绝且AI不泄露信息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AT-10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合同智能录入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上传样本合同并确认提取结果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字段带来源，规则校验通过后只生成草稿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AT-11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风险摘要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准备到期 欠款和证件过期数据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规则命中准确，AI摘要引用来源记录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AT-12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报表下钻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查看逾期金额并下钻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汇总与明细一致，可定位应收和合同</w:t>
            </w:r>
          </w:p>
        </w:tc>
      </w:tr>
    </w:tbl>
    <w:p>
      <w:pPr>
        <w:spacing w:after="40"/>
      </w:pPr>
    </w:p>
    <w:p>
      <w:pPr>
        <w:pStyle w:val="Heading1"/>
      </w:pPr>
      <w:r>
        <w:t>四 AI专项验收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81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515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验收方法</w:t>
            </w:r>
          </w:p>
        </w:tc>
        <w:tc>
          <w:tcPr>
            <w:tcW w:type="dxa" w:w="3515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标准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合同提取准确率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使用客户确认的固定样本集逐字段比对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关键字段准确率不低于95%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不确定性处理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准备模糊 缺失和冲突字段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留空或标记待确认，不猜测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来源可追溯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抽查提取字段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展示正确页码或原文片段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权限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跨单位提问和检索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不返回无权文档 名称 数量或摘要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有据率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固定RAG问题集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回答带来源，无法确认时明确拒答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成本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统计各功能调用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记录用户 模型 token 耗时和费用标签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降级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模拟模型或Milvus不可用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AI功能提示故障，核心业务仍可使用</w:t>
            </w:r>
          </w:p>
        </w:tc>
      </w:tr>
    </w:tbl>
    <w:p>
      <w:pPr>
        <w:spacing w:after="40"/>
      </w:pPr>
    </w:p>
    <w:p>
      <w:pPr>
        <w:pStyle w:val="Heading1"/>
      </w:pPr>
      <w:r>
        <w:t>五 性能与可靠性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835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00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普通查询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20人并发下95%请求2秒内返回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普通写操作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95%请求3秒内完成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常用报表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10秒内生成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Excel校验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5000行在60秒内给出结果或进入后台任务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AI流式响应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10秒内出现首个响应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合同解析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普通合同2分钟内完成，可后台查看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恢复演练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RPO不超过24小时，RTO不超过4小时</w:t>
            </w:r>
          </w:p>
        </w:tc>
      </w:tr>
    </w:tbl>
    <w:p>
      <w:pPr>
        <w:spacing w:after="40"/>
      </w:pPr>
    </w:p>
    <w:p>
      <w:pPr>
        <w:pStyle w:val="Heading1"/>
      </w:pPr>
      <w:r>
        <w:t>六 安全测试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验证未登录、越权、跨运营单位、参数篡改和直接调用接口场景。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验证登录失败锁定、速率限制、会话失效和管理员停用账号。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验证SQL注入、文件伪装、超大文件、恶意文件名和不安全下载。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验证日志、导出和AI调用中不出现密码、令牌和不必要的敏感正文。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验证系统管理员在未授予业务角色时不能查看合同和财务数据。</w:t>
      </w:r>
    </w:p>
    <w:p>
      <w:pPr>
        <w:pStyle w:val="Heading1"/>
      </w:pPr>
      <w:r>
        <w:t>七 缺陷等级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464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249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上线要求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阻断级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系统无法使用 数据损坏 严重资金错误或重大权限泄露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必须清零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严重级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核心流程失败或重要业务结果错误且无可接受绕行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必须清零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一般级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非核心功能错误或存在可接受绕行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经评估后限期修复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轻微级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文案 样式或低影响体验问题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记录并排期</w:t>
            </w:r>
          </w:p>
        </w:tc>
      </w:tr>
    </w:tbl>
    <w:p>
      <w:pPr>
        <w:spacing w:after="40"/>
      </w:pPr>
    </w:p>
    <w:p>
      <w:pPr>
        <w:pStyle w:val="Heading1"/>
      </w:pPr>
      <w:r>
        <w:t>八 上线准入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1. PRD 产品设计方案 原型和验收范围经客户确认。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2. Must需求完成，所有核心验收场景通过。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3. 单元 集成 接口和端到端测试达到团队约定门禁。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4. 阻断级和严重级缺陷清零。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5. 权限矩阵 数据迁移和账款余额完成专项核对。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6. 备份恢复演练成功，操作手册和管理员手册完成。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7. 正式客户数据使用阿里云正式环境和内网托管资源。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8. 客户侧业务负责人签署上线确认。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6"/>
      </w:rPr>
      <w:t>高速公路广告牌经营管理系统  测试与验收方案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