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高速公路广告牌经营管理系统完整需求规格说明书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color w:val="5C5C5C"/>
          <w:sz w:val="24"/>
        </w:rPr>
        <w:t>覆盖业务范围 功能规则 数据权限 非功能要求与验收口径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041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63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高速公路广告牌经营管理系统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完整需求规格说明书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基准日期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 年 9 月 16 日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文档用途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客户评审、原型设计、产品开发与测试验收</w:t>
            </w:r>
          </w:p>
        </w:tc>
      </w:tr>
      <w:t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完整整理版，待客户确认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一 文档结论与范围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本系统面向高速公路沿线广告资源经营单位，统一管理广告牌点位与广告面、客户、租赁合同、应收与实收、核销与挂账、应付与发票、巡检维修、经营分析和 AI 辅助能力。首期必须优先保证资源占用、合同履约、账款核对、权限隔离和历史追溯正确，AI 仅生成草稿、摘要或建议，不直接改变正式业务记录。</w:t>
      </w:r>
    </w:p>
    <w:p>
      <w:pPr>
        <w:pStyle w:val="Heading2"/>
      </w:pPr>
      <w:r>
        <w:t>1 需求来源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2026 年 9 月 15 日需求调研结论及需求调研报告。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现有 PRD、产品设计方案、业务流程与领域模型、技术架构、测试验收方案和 Product Backlog。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现有高保真原型、经营工作台设计提示词、设计系统和设计 QA 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项目统一术语、权限边界、AI 边界和架构决策记录。</w:t>
      </w:r>
    </w:p>
    <w:p>
      <w:pPr>
        <w:pStyle w:val="Heading2"/>
      </w:pPr>
      <w:r>
        <w:t>2 业务目标与成功标准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835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669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统一经营数据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上线范围内有效资源、客户和合同 100% 可检索并建立关联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账款闭环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验收样本中应收、收款、核销、挂账、退款及余额核对一致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流程闭环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建档、签约、生成应收、收款核销、开票、巡检和报表核心流程通过验收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智能录入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客户确认的固定合同样本中关键字段准确率不低于 95%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可追溯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关键合同、资金、权限和配置操作 100% 产生审计记录</w:t>
            </w:r>
          </w:p>
        </w:tc>
      </w:tr>
    </w:tbl>
    <w:p>
      <w:pPr>
        <w:spacing w:after="20"/>
      </w:pPr>
    </w:p>
    <w:p>
      <w:pPr>
        <w:pStyle w:val="Heading1"/>
      </w:pPr>
      <w:r>
        <w:t>二 用户 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814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252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438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默认数据范围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运营档案员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维护路段、点位、广告面、产权、合规手续和现场资料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合同管理员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客户、合同、收费计划、变更、续签、解除和附件管理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财务管理员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应收、收款、核销、挂账、退款、应付、付款、发票和对账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巡检维护人员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巡检、缺陷、维修、验收、售后处理和费用记录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本人或指定运营单位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部门领导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查看跨单位经营指标、风险、报表和处置进展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授权单位或全部数据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系统管理员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账号、角色、字典、模型、规则和运行配置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不自动获得业务数据权限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一个用户可拥有多个角色，功能权限取角色并集；数据访问仍受本人、指定运营单位或全部数据范围限制。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完整银行账户、批量导出、附件批量下载、退款、调整、作废和模型配置使用独立权限。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合同、调整、退款等双人确认场景中，确认人不得与制单人相同。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前端菜单和按钮只改善体验，后端必须对每次请求执行功能权限与数据范围校验。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AI 检索、引用和建议继承当前用户权限，不得暴露无权数据的名称、数量、摘要或来源。</w:t>
      </w:r>
    </w:p>
    <w:p>
      <w:pPr>
        <w:pStyle w:val="Heading1"/>
      </w:pPr>
      <w:r>
        <w:t>三 需求范围与优先级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6803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Must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资源档案、客户、合同、收费计划、应收、收款、核销、挂账、待认领、退款、发票、核心报表、权限、审计、合同智能录入、风险摘要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Should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应付付款、巡检维修与售后、合同变更、提醒、经营收益测算、PDF 导出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Could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自然语言经营问答、地图增强、移动端增强、滞纳金、扩展看板和更多智能分析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首期不做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客户门户、在线支付、外部财务系统对接、自动电子发票、原生 App、广告内容审核和完整会计核算</w:t>
            </w:r>
          </w:p>
        </w:tc>
      </w:tr>
    </w:tbl>
    <w:p>
      <w:pPr>
        <w:spacing w:after="20"/>
      </w:pPr>
    </w:p>
    <w:p>
      <w:pPr>
        <w:pStyle w:val="Heading1"/>
      </w:pPr>
      <w:r>
        <w:t>四 完整功能需求</w:t>
      </w:r>
    </w:p>
    <w:p>
      <w:pPr>
        <w:pStyle w:val="Heading2"/>
      </w:pPr>
      <w:r>
        <w:t>1 工作台与经营监控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按组织、路线、区域、责任人和统计周期切换经营视角，展示权限范围和数据更新时间。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首屏展示广告面总数、在营数量、经营率、合同额、已回款、回款率、逾期金额、临期合同和严重缺陷。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待办按风险等级、逾期天数、金额和截止时间排序，可直接进入合同确认、催收、合规补办或维修处置。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工作台、监控页和分析页使用一致筛选条件，并支持指标下钻到可核对明细。</w:t>
      </w:r>
    </w:p>
    <w:p>
      <w:pPr>
        <w:pStyle w:val="Heading2"/>
      </w:pPr>
      <w:r>
        <w:t>2 广告资源管理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分别管理路段、广告牌点位和广告面；广告面是可独立签约出租的最小资源。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点位保存运营单位、路线、方向、合同桩号、现场桩号、路政批复桩号、经纬度、规格、权属、责任人、照片和附件。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广告面保存面向、尺寸、媒体类型、经营状态、可租日期和历史租赁记录。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经营状态为闲置、已预占、出租中、暂停经营和已拆除，由合同占用与停用记录共同计算，不允许人工随意改写。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合规手续按类型保存编号、生效日、到期日、附件和状态；到期前提醒并进入风险队列。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支持列表、详情、地图、批量导入、筛选、导出和租赁历史查询。</w:t>
      </w:r>
    </w:p>
    <w:p>
      <w:pPr>
        <w:pStyle w:val="Heading2"/>
      </w:pPr>
      <w:r>
        <w:t>3 客户管理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维护客户编号、企业名称、统一社会信用代码、联系人、联系方式、地址、开票信息、银行信息和合作记录。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支持客户标签、风险等级、黑名单、跟进记录、附件和关联合同、应收、收款、发票与售后事项。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黑名单客户不能创建新的生效合同；既有合同继续履行并持续提示风险。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联系方式与银行信息在普通列表中遮挡，查看完整内容需要独立权限并记录审计。</w:t>
      </w:r>
    </w:p>
    <w:p>
      <w:pPr>
        <w:pStyle w:val="Heading2"/>
      </w:pPr>
      <w:r>
        <w:t>4 合同与收费计划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合同包含客户、负责人、合同编号、签署日期、合同期限、广告面明细、附件、特殊约定和收费计划。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一份合同可关联多个广告面，每个广告面可有独立租期；同一广告面的已确认租期不得重叠。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收费计划每期包含计费起止日期、应收金额和付款到期日，不以自然年价格代替正式收费计划。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合同流程为草稿、待确认、已生效、已到期、已解除、已作废；确认后占用租期并一次生成全部应收。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正式合同不得覆盖修改；变更、续签、解除和作废必须生成独立记录、差异、原因和确认信息。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AI 可从 PDF 或图片提取字段并生成草稿；字段必须显示页码或原文来源并由用户确认。</w:t>
      </w:r>
    </w:p>
    <w:p>
      <w:pPr>
        <w:pStyle w:val="Heading2"/>
      </w:pPr>
      <w:r>
        <w:t>5 应收 收款与核销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合同确认后，收费计划形成正式应收账单，状态包括未到期、待收款、部分收款、已结清、逾期和已调整。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收款流水独立记录客户、到账日期、金额、方式、付款方、凭证和备注，不因未核销而失效。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支持一笔收款核销多条应收，也支持一条应收由多笔收款核销；默认建议优先最早到期应收。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单次核销不得超过应收未收金额或收款未分配金额，核销与余额更新在同一事务中完成。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客户明确但用途不明的余额进入客户挂账；付款客户未知的记录进入待认领收款。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多付款可继续挂账或通过退款单退回；退款必须关联原收款或挂账来源并经过双人确认。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应收金额变化通过调整记录处理，不删除、不覆盖原账单。</w:t>
      </w:r>
    </w:p>
    <w:p>
      <w:pPr>
        <w:pStyle w:val="Heading2"/>
      </w:pPr>
      <w:r>
        <w:t>6 应付 付款与发票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路政费、保险费、维护费等形成独立应付与付款记录，不与应收台账混合。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发票台账可关联客户、合同、应收和收款，记录发票类型、号码、金额、日期、状态和附件。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首期仅登记发票，不对接税务开票系统；付款、退款和作废均保留原始记录与审计。</w:t>
      </w:r>
    </w:p>
    <w:p>
      <w:pPr>
        <w:pStyle w:val="Heading2"/>
      </w:pPr>
      <w:r>
        <w:t>7 巡检 维修与售后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巡检记录关联点位或广告面，保存巡检人、时间、位置、结果、缺陷等级、描述和现场照片。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严重缺陷提交后自动暂停经营并生成维修任务；复核验收通过后才允许恢复经营。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维修任务保存责任人、计划时间、处理过程、费用、附件、结果和验收记录。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售后事项可关联客户、合同或资源，状态为待处理、处理中、待验收、已完成和已关闭。</w:t>
      </w:r>
    </w:p>
    <w:p>
      <w:pPr>
        <w:pStyle w:val="Heading2"/>
      </w:pPr>
      <w:r>
        <w:t>8 报表与经营分析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资源经营报表统计闲置、预占、出租中、暂停经营和拆除数量及经营率。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合同执行报表统计待开始、执行中、即将到期、已到期和已解除合同。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应收欠款报表展示应收、已核销、未收、逾期金额、账龄和责任人。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资金收支报表按实际日期统计收款、付款、退款和现金净流入。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经营收益测算为期间租金应收减已确认经营成本，不得称为会计利润。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所有汇总指标必须提供口径、周期、更新时间和明细下钻；支持 Excel 或 PDF 导出。</w:t>
      </w:r>
    </w:p>
    <w:p>
      <w:pPr>
        <w:pStyle w:val="Heading2"/>
      </w:pPr>
      <w:r>
        <w:t>9 AI 经营助手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支持合同结构化提取、风险摘要、文档问答和经营数据解释。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到期、逾期、冲突、合规和权限事实由确定性规则计算，AI 仅解释事实或提出建议。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每条回答显示模型、生成时间、引用来源、数据时间和权限范围；无可靠依据时明确说明不足以判断。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业务变更只能生成建议操作或预填草稿，必须由用户确认并通过原有权限与审批流程。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模型通过可配置 API Key 接入兼容 OpenAI 协议的国产大模型，密钥加密保存且只显示末四位。</w:t>
      </w:r>
    </w:p>
    <w:p>
      <w:pPr>
        <w:pStyle w:val="Heading2"/>
      </w:pPr>
      <w:r>
        <w:t>10 系统管理与审计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管理用户、角色、功能权限、数据范围、运营单位、业务字典、规则参数、模型配置和审计日志。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合同临期、应收逾期、巡检周期等确定性规则集中配置并记录变更人、时间和前后值。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审计日志记录用户、角色、时间、对象、动作、变更字段、原因、IP、结果和请求追踪编号。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正式合同和资金记录不得物理删除；错误通过作废、冲销、调整或退款处理。</w:t>
      </w:r>
    </w:p>
    <w:p>
      <w:pPr>
        <w:pStyle w:val="Heading1"/>
      </w:pPr>
      <w:r>
        <w:t>五 核心流程与业务规则</w:t>
      </w:r>
    </w:p>
    <w:p>
      <w:pPr>
        <w:pStyle w:val="Heading2"/>
      </w:pPr>
      <w:r>
        <w:t>1 资源到合同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创建路段、点位和广告面档案。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补充产权、合规、照片和责任人。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客户建档并校验黑名单。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合同选择广告面和租期，系统检查占用冲突。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配置收费计划并提交确认。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6. 另一名用户确认后占用租期并生成应收。</w:t>
      </w:r>
    </w:p>
    <w:p>
      <w:pPr>
        <w:pStyle w:val="Heading2"/>
      </w:pPr>
      <w:r>
        <w:t>2 收款到核销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登记实际收款流水。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识别付款客户和款项类型。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展示客户未结应收并给出分配建议。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财务人员调整核销分配并确认。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系统在事务内写入核销明细并更新两侧余额。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6. 无法识别客户时进入待认领，客户明确但用途不明时进入挂账。</w:t>
      </w:r>
    </w:p>
    <w:p>
      <w:pPr>
        <w:pStyle w:val="Heading2"/>
      </w:pPr>
      <w:r>
        <w:t>3 巡检到复核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按计划或临时任务登记巡检。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发现缺陷时录入等级、描述和照片。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严重缺陷自动暂停经营并生成维修任务。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负责人记录维修过程、费用和结果。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复核人员验收并决定关闭任务或退回整改。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6. 验收通过后按规则恢复经营状态。</w:t>
      </w:r>
    </w:p>
    <w:p>
      <w:pPr>
        <w:pStyle w:val="Heading2"/>
      </w:pPr>
      <w:r>
        <w:t>4 核心不变量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同一广告面不能存在时间重叠的两份已确认合同。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合同制单人与确认人不得为同一用户。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合同确认后才占用租期并生成应收。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应收、收款、核销、挂账、退款、调整和应付必须分别保存。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已核销、已开票或已确认的记录不得物理删除。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6. 金额使用十进制定点数并保留两位小数。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7. 保证金等暂收款不得计入租金收入。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8. AI 输出必须经过业务规则校验和人工确认才能形成正式记录。</w:t>
      </w:r>
    </w:p>
    <w:p>
      <w:pPr>
        <w:pStyle w:val="Heading1"/>
      </w:pPr>
      <w:r>
        <w:t>六 数据对象与状态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701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969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835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状态或约束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广告牌点位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路线、方向、三类桩号、经纬度、权属、合规、照片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一个点位包含一个或多个广告面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广告面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面向、规格、媒体类型、可租期、经营状态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最小可出租资源，租期不得冲突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主体信息、联系人、开票、银行、黑名单、风险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敏感字段遮挡并单独授权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租赁合同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客户、广告面、租期、金额、收费计划、附件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草稿、待确认、已生效、已到期、已解除、已作废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应收账单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期间、应收金额、到期日、未收金额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未到期、待收款、部分收款、已结清、逾期、已调整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收款流水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客户、到账日、金额、方式、凭证、未分配余额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与应收独立，允许暂未核销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核销明细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收款、应收、核销金额、操作人、时间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连接收款与应收的多对多记录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巡检维修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对象、缺陷、任务、费用、处理、复核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待处理、处理中、待验收、已完成、已关闭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任务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类型、输入、来源、模型、结果、成本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排队、处理中、待确认、已完成、失败</w:t>
            </w:r>
          </w:p>
        </w:tc>
      </w:tr>
    </w:tbl>
    <w:p>
      <w:pPr>
        <w:spacing w:after="20"/>
      </w:pPr>
    </w:p>
    <w:p>
      <w:pPr>
        <w:pStyle w:val="Heading1"/>
      </w:pPr>
      <w:r>
        <w:t>七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690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性能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普通查询 95% 在 2 秒内返回；普通写操作 95% 在 3 秒内完成；常用报表 10 秒内生成；AI 10 秒内出现首个响应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可用性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正式环境月度可用性目标 99.5%；AI、Redis 或 Milvus 故障不得阻断核心合同与财务流程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HTTPS、可靠密码哈希、服务端鉴权、参数化查询、私有存储、最小权限、敏感字段遮挡和密钥管理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关键业务、权限、配置、导出和敏感数据查看均可追溯，审计记录不可由普通业务用户修改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兼容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支持最新版及前一主要版本 Chrome 和 Edge；1366×768 可完成全部核心操作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可访问性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正文对比度至少 4.5:1；键盘可操作；颜色不是唯一状态载体；支持 200% 缩放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备份恢复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RDS 每日备份；RPO 不超过 24 小时；RTO 不超过 4 小时；每季度执行恢复演练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数据与合规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正式客户数据使用阿里云正式环境和内网托管资源；测试与 AI 调试使用脱敏数据</w:t>
            </w:r>
          </w:p>
        </w:tc>
      </w:tr>
    </w:tbl>
    <w:p>
      <w:pPr>
        <w:spacing w:after="20"/>
      </w:pPr>
    </w:p>
    <w:p>
      <w:pPr>
        <w:pStyle w:val="Heading1"/>
      </w:pPr>
      <w:r>
        <w:t>八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134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89"/>
            <w:shd w:fill="20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广告资源建档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点位、广告面、三类桩号和合规信息可查询，状态正确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AT-02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多广告面合同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确认后占用对应租期并按收费计划生成应收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AT-03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租期冲突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系统阻止确认并明确指出冲突资源和合同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AT-04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部分收款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两笔收款逐次降低未收金额并最终结清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合并核销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一笔收款可核销多条应收且两侧余额正确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AT-06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未知收款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进入待认领且不影响任何客户余额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AT-07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合同变更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保留原合同并生成变更历史及应收调整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AT-08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退款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双人确认后形成退款记录并更新余额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AT-09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权限隔离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页面、接口和 AI 均拒绝跨权限访问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AT-10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合同智能录入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字段带来源，校验通过后只生成草稿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AT-11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严重缺陷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自动暂停经营，生成维修任务，复核后才可恢复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AT-12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报表下钻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  <w:shd w:fill="F8FA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汇总与明细一致，可定位到合同、应收或资源</w:t>
            </w:r>
          </w:p>
        </w:tc>
      </w:tr>
    </w:tbl>
    <w:p>
      <w:pPr>
        <w:spacing w:after="20"/>
      </w:pPr>
    </w:p>
    <w:p>
      <w:pPr>
        <w:pStyle w:val="Heading1"/>
      </w:pPr>
      <w:r>
        <w:t>九 上线准入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1. PRD、原型、设计文档和验收范围经客户确认。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2. Must 需求完成，核心验收场景全部通过。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3. 阻断级和严重级缺陷清零，权限矩阵和账款余额完成专项核对。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4. 迁移数据经客户核对，备份恢复演练成功。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5. 操作手册、管理员手册和上线回退方案完成。</w:t>
      </w:r>
    </w:p>
    <w:p>
      <w:pPr>
        <w:ind w:left="312" w:hanging="312"/>
      </w:pPr>
      <w:r>
        <w:rPr>
          <w:rFonts w:ascii="Microsoft YaHei" w:hAnsi="Microsoft YaHei" w:eastAsia="Microsoft YaHei"/>
          <w:b w:val="0"/>
          <w:color w:val="000000"/>
          <w:sz w:val="21"/>
        </w:rPr>
        <w:t>6. 正式客户数据进入系统前完成阿里云正式环境迁移。</w:t>
      </w:r>
    </w:p>
    <w:p>
      <w:pPr>
        <w:pStyle w:val="Heading1"/>
      </w:pPr>
      <w:r>
        <w:t>十 待客户最终确认事项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客户单位正式名称和客户侧业务负责人。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阿里云正式环境地域。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正式合同样本、历史数据模板和初始权限矩阵。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首期必须交付范围是否包含应付、巡检维修和 PDF 导出。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提醒阈值、巡检周期、合同临期天数和逾期升级规则。</w:t>
      </w:r>
    </w:p>
    <w:sectPr w:rsidR="00FC693F" w:rsidRPr="0006063C" w:rsidSect="00034616">
      <w:footerReference w:type="default" r:id="rId9"/>
      <w:pgSz w:w="12240" w:h="15840"/>
      <w:pgMar w:top="1134" w:right="1219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C5C5C"/>
        <w:sz w:val="16"/>
      </w:rPr>
      <w:t>高速公路广告牌经营管理系统  完整需求规格说明书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