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高速公路广告牌经营管理系统原型界面设计文档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color w:val="5C5C5C"/>
          <w:sz w:val="24"/>
        </w:rPr>
        <w:t>供 Figma MasterGo Axure 墨刀 即时设计与其他原型软件直接使用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041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63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高速公路广告牌经营管理系统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原型界面设计文档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基准日期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 年 9 月 16 日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文档用途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客户评审、原型设计、产品开发与测试验收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完整整理版，待客户确认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一 设计任务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本文件用于在其他设计或原型软件中重新制作完整界面。设计对象是企业级 Web 经营管理后台，不是宣传网站。原型应覆盖从经营总览到资源、合同、财务、巡检、分析、AI 和系统管理的完整信息架构，并包含正常、空数据、加载、错误、无权限、校验失败和依赖故障状态。</w:t>
      </w:r>
    </w:p>
    <w:p>
      <w:pPr>
        <w:pStyle w:val="Heading2"/>
      </w:pPr>
      <w:r>
        <w:t>1 设计目标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用户在 10 秒内判断资产经营、合同履约、回款、风险和下一步操作。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高密度数据仍然清晰、可扫描、可比较、可下钻和可追溯。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合同、财务和审批操作强调规则、影响范围、确认人和历史证据。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AI 建议与系统事实显著区分，既不越权也不伪装成已执行结果。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桌面端优先，兼顾平板审批和移动端查看、拍照上传等高频任务。</w:t>
      </w:r>
    </w:p>
    <w:p>
      <w:pPr>
        <w:pStyle w:val="Heading1"/>
      </w:pPr>
      <w:r>
        <w:t>二 设计基准与视觉系统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基准画板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1440×900；同时验证 1366×768、1280×800、1024×768、768×1024 和 390×844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栅格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桌面主内容采用 12 栏，自适应列宽，栏间距 16px；内容区左右边距 24px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基础间距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4px 基础单位；常用 4、8、12、16、24、32、48px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圆角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输入和按钮 8px；卡片 12px；抽屉和大弹窗 16px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控件高度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 40px；紧凑表格工具 32px；移动触控区域不小于 44px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阴影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只用于浮层，建议 0 8px 24px rgba(20,20,19,.10)</w:t>
            </w:r>
          </w:p>
        </w:tc>
      </w:tr>
    </w:tbl>
    <w:p>
      <w:pPr>
        <w:spacing w:after="20"/>
      </w:pPr>
    </w:p>
    <w:p>
      <w:pPr>
        <w:pStyle w:val="Heading2"/>
      </w:pPr>
      <w:r>
        <w:t>1 色彩令牌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43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令牌</w:t>
            </w:r>
          </w:p>
        </w:tc>
        <w:tc>
          <w:tcPr>
            <w:tcW w:type="dxa" w:w="1984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4082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Canvas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#FAF9F5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应用背景、登录页、空状态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Surface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#FFFFFF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表格、表单、弹窗主表面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Surface Soft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#F5F0E8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筛选、分组、次级区域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Surface Strong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#EFE9DE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选中项和摘要区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Ink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#141413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主标题和关键数字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Body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#3D3D3A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正文和表格主要文本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Muted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#6C6A64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辅助说明和时间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Hairline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#E6DFD8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边框和分隔线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Primary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#CC785C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主操作、当前导航、关键链接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Primary Active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#A9583E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按下态和深色强调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Dark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#181715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侧栏、AI 或深色洞察区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Success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#3F8F5B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正常、已完成、已收款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Warning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#B7791F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临期、待处理、需关注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Error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#C64545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逾期、异常、驳回、危险操作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Info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#3D6F8E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信息提示和处理中</w:t>
            </w:r>
          </w:p>
        </w:tc>
      </w:tr>
    </w:tbl>
    <w:p>
      <w:pPr>
        <w:spacing w:after="20"/>
      </w:pPr>
    </w:p>
    <w:p>
      <w:pPr>
        <w:pStyle w:val="Heading2"/>
      </w:pPr>
      <w:r>
        <w:t>2 字体层级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984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字号 行高</w:t>
            </w:r>
          </w:p>
        </w:tc>
        <w:tc>
          <w:tcPr>
            <w:tcW w:type="dxa" w:w="1587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字重</w:t>
            </w:r>
          </w:p>
        </w:tc>
        <w:tc>
          <w:tcPr>
            <w:tcW w:type="dxa" w:w="2665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页面标题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28/40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页面名称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区块标题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20/30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卡片、抽屉、弹窗标题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小标题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16/24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分组标题、表单分段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14/22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默认文本和表格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辅助文本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12/18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说明、时间、次级信息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关键指标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32/40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金额、数量和完成率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000000"/>
          <w:sz w:val="21"/>
        </w:rPr>
        <w:t>中文使用 Inter、PingFang SC、Microsoft YaHei、sans-serif；数字、编号和金额使用 Inter 或 DIN Alternate 并启用等宽数字。</w:t>
      </w:r>
    </w:p>
    <w:p>
      <w:pPr>
        <w:pStyle w:val="Heading1"/>
      </w:pPr>
      <w:r>
        <w:t>三 应用框架与导航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92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28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尺寸与内容</w:t>
            </w:r>
          </w:p>
        </w:tc>
        <w:tc>
          <w:tcPr>
            <w:tcW w:type="dxa" w:w="328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左侧一级导航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展开 232px，收起 64px；深色背景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当前项显示珊瑚色标识；支持图标加文字；收起时显示提示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顶部栏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 64px；面包屑、全局搜索、待办、AI、用户菜单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固定在顶部；搜索支持客户、合同、资源和账单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主内容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左右 24px 留白；页面标题、摘要、筛选、主内容、分页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表格和地图自适应宽度；详情可右侧抽屉并行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右侧抽屉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建议宽 440–520px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展示对象摘要、关联数据、时间线和低风险操作</w:t>
            </w:r>
          </w:p>
        </w:tc>
      </w:tr>
    </w:tbl>
    <w:p>
      <w:pPr>
        <w:spacing w:after="20"/>
      </w:pPr>
    </w:p>
    <w:p>
      <w:pPr>
        <w:pStyle w:val="Heading2"/>
      </w:pPr>
      <w:r>
        <w:t>1 一级信息架构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6236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二级页面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经营工作台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工作台、监控页、分析页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广告牌资产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路段、点位、广告面、地图、合规手续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客户管理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客户列表、客户详情、黑名单、合作记录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合同管理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合同列表、新建合同、待确认、变更、续签、解除、收费计划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财务与回款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应收、收款核销、挂账、待认领、退款、应付、付款、发票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巡检维护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巡检计划、巡检记录、缺陷、维修任务、复核验收、售后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经营分析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资源经营、合同执行、应收欠款、资金收支、经营收益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经营助手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对话、合同智能录入、风险摘要、文档问答、任务记录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系统管理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用户、角色、权限、运营单位、字典、规则、模型、审计</w:t>
            </w:r>
          </w:p>
        </w:tc>
      </w:tr>
    </w:tbl>
    <w:p>
      <w:pPr>
        <w:spacing w:after="20"/>
      </w:pPr>
    </w:p>
    <w:p>
      <w:pPr>
        <w:pStyle w:val="Heading1"/>
      </w:pPr>
      <w:r>
        <w:t>四 核心页面规格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531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005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主要区域</w:t>
            </w:r>
          </w:p>
        </w:tc>
        <w:tc>
          <w:tcPr>
            <w:tcW w:type="dxa" w:w="2381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关键交互</w:t>
            </w:r>
          </w:p>
        </w:tc>
        <w:tc>
          <w:tcPr>
            <w:tcW w:type="dxa" w:w="1587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必备状态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01 登录页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品牌标题、账号、密码、记住登录、忘记密码、安全提示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登录、失败次数提示、锁定状态、会话过期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错误、锁定、服务不可用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02 经营工作台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权限范围、周期筛选、指标摘要、今日优先事项、风险、状态分布、快捷操作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切换视角、指标下钻、处理待办、新建合同、登记收款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无数据、数据更新中、部分指标无权限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03 经营监控页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风险队列、处置进度、异常记录、责任人和时限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按严重度筛选、认领、转派、记录进展、进入对象详情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超时、无人负责、已升级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04 经营分析页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趋势、路线对比、资产结构、异常排行、事实摘要、AI 建议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切换维度、查看口径、下钻、导出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数据不足、AI 不可用、口径说明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05 广告资源列表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筛选、统计、表格、地图切换、批量导入和导出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新增点位、查看详情、停用、维护合规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闲置、在租、维修、停用、拆除、无权限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06 广告资源详情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摘要头、基础信息、广告面、合同、财务、巡检、附件、操作记录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编辑草稿信息、发起停用、查看租赁历史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严重缺陷、证件临期、租期冲突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07 客户列表与详情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客户资料、风险、合同、应收、收款、发票、跟进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新建客户、加入黑名单、登记跟进、导出对账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敏感字段遮挡、黑名单、欠款风险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08 合同列表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状态、客户、资源、期限、金额、负责人、风险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新建、复制、提交确认、变更、续签、解除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草稿、待确认、临期、已到期、已作废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09 合同创建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客户、广告面、租期、收费计划、附件、特殊约定、确认摘要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保存草稿、AI 导入、冲突校验、提交确认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必填错误、租期冲突、收费合计不一致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合同确认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制单人、前后差异、规则校验、附件、确认意见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通过、驳回、补充材料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制单人与确认人相同、附件缺失、规则不通过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 收款核销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收款信息、客户未结应收、分配金额、余额预览、凭证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自动建议、手工分配、确认核销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超额核销、重复提交、未知付款人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客户资金详情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应收、收款、核销、挂账、退款、发票时间线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查看来源、发起退款、导出对账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部分收款、逾期、挂账、退款待确认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 巡检与维修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计划、对象、现场信息、缺陷、照片、任务、费用、复核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提交巡检、生成维修、上传结果、验收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严重缺陷自动暂停、整改退回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 合同智能录入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文件预览、提取字段、来源片段、置信提示、规则校验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重新识别、修改、确认生成草稿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识别失败、字段冲突、模型不可用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 AI 经营助手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对话历史、问题、事实、建议、来源、模型和权限范围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追问、打开来源、生成建议操作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无依据拒答、跨权限拒答、模型超时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 系统管理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用户角色、权限矩阵、规则、模型配置、审计日志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配置、测试连接、保存、查看变更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密钥仅末四位、配置失败、审计不可篡改</w:t>
            </w:r>
          </w:p>
        </w:tc>
      </w:tr>
    </w:tbl>
    <w:p>
      <w:pPr>
        <w:spacing w:after="20"/>
      </w:pPr>
    </w:p>
    <w:p>
      <w:pPr>
        <w:pStyle w:val="Heading1"/>
      </w:pPr>
      <w:r>
        <w:t>五 重点页面布局</w:t>
      </w:r>
    </w:p>
    <w:p>
      <w:pPr>
        <w:pStyle w:val="Heading2"/>
      </w:pPr>
      <w:r>
        <w:t>1 经营工作台 1440×900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左侧 232px 导航，顶部 64px 顶栏，主区从 x=256 开始，左右留白 24px。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标题区约 72px：左侧页面标题和说明，右侧显示统计周期、组织、路线和主操作。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经营摘要区使用组合式数据带，不堆叠六张同构大卡片；关键数字、变化、口径和更新时间同时呈现。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中部左侧约 8 栏展示趋势或资产经营分布，右侧约 4 栏展示今日优先事项或高风险队列。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下部展示临期合同、逾期应收、严重缺陷和最近操作，保持金额、天数、责任人及直接入口可见。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6. 同一屏最多一个大面积深色区域，可用于风险洞察或 AI 摘要。</w:t>
      </w:r>
    </w:p>
    <w:p>
      <w:pPr>
        <w:pStyle w:val="Heading2"/>
      </w:pPr>
      <w:r>
        <w:t>2 合同创建页面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采用独立页面，顶部显示步骤：基本信息、资源与租期、收费计划、附件与确认。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客户和负责人为首段；广告面选择使用可搜索表格或地图选择器，并显示可租时间。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租期冲突在选择时即时提示，明确冲突对象、合同编号和重叠日期。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收费计划使用可编辑明细表，金额右对齐，底部显示合同总额与计划合计差异。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提交前显示摘要确认，列出客户、资源、租期、金额、付款节点和附件完整性。</w:t>
      </w:r>
    </w:p>
    <w:p>
      <w:pPr>
        <w:pStyle w:val="Heading2"/>
      </w:pPr>
      <w:r>
        <w:t>3 收款核销页面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上方录入到账日期、金额、方式、付款方、客户和凭证。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下方左右分区：左侧为客户未结应收，右侧为核销分配结果和未分配余额。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默认按最早到期提出建议，用户可修改每条核销金额。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页面持续显示到账金额、已分配、未分配和应收剩余，任何超额都阻止提交。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确认弹窗说明将生成独立收款和核销记录，原应收历史不会被覆盖。</w:t>
      </w:r>
    </w:p>
    <w:p>
      <w:pPr>
        <w:pStyle w:val="Heading1"/>
      </w:pPr>
      <w:r>
        <w:t>六 组件与交互规范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92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576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按钮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每个操作区最多一个珊瑚色主按钮；危险操作只在二次确认区使用红色；禁用态说明原因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表单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标签置于控件上方；必填标识紧邻标签；错误信息说明修正方式；长表单按业务分段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表格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表头固定；关键列可固定；默认行高 48px；金额右对齐；状态居中；筛选以标签回显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状态标签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浅色底、深色文字、状态名称和必要图标；不得只使用彩色圆点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名称、当前值、同比或环比、统计口径和更新时间同时呈现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抽屉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用于详情速览和中等复杂度编辑；保留关闭、返回焦点和未保存提醒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弹窗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仅用于简短确认；危险操作显示对象、影响范围、不可逆后果和原因输入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保存成功使用轻量提示；重要流程完成后更新状态区或进入结果页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加载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超过 2 秒显示骨架；长任务显示进度、当前阶段和可恢复入口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空状态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区分暂无数据、筛选无结果、无权查看和依赖故障</w:t>
            </w:r>
          </w:p>
        </w:tc>
      </w:tr>
    </w:tbl>
    <w:p>
      <w:pPr>
        <w:spacing w:after="20"/>
      </w:pPr>
    </w:p>
    <w:p>
      <w:pPr>
        <w:pStyle w:val="Heading2"/>
      </w:pPr>
      <w:r>
        <w:t>1 动效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常规动效 120–220ms，缓动用于抽屉、筛选展开、状态更新和因果反馈。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不使用持续漂浮、无意义循环动画或妨碍读取的数字跳动。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保存、合同确认、核销和审批等待服务端结果，不做无法安全回滚的乐观更新。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防止重复提交；网络失败保留用户输入并提供重试。</w:t>
      </w:r>
    </w:p>
    <w:p>
      <w:pPr>
        <w:pStyle w:val="Heading1"/>
      </w:pPr>
      <w:r>
        <w:t>七 状态与异常设计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984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520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界面要求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显示结果、更新时间、操作入口和可追溯来源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空数据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说明为何为空并提供新增、清除筛选或查看全部的下一步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加载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使用骨架保持结构稳定；不以整页转圈阻断阅读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校验失败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字段下方就近提示，并在页面顶部提供错误摘要和定位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无权限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明确无权查看或操作，不透露敏感对象的名称、数量或摘要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网络错误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保留输入，说明失败阶段，提供重试和请求追踪编号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依赖故障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AI、缓存或检索不可用时明确降级，核心合同与财务流程继续可用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并发冲突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提示数据已被他人更新，展示最新版本并允许重新应用修改</w:t>
            </w:r>
          </w:p>
        </w:tc>
      </w:tr>
    </w:tbl>
    <w:p>
      <w:pPr>
        <w:spacing w:after="20"/>
      </w:pPr>
    </w:p>
    <w:p>
      <w:pPr>
        <w:pStyle w:val="Heading1"/>
      </w:pPr>
      <w:r>
        <w:t>八 响应式与可访问性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6236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布局行为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&gt;=1200px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完整侧栏、多栏工作台，表格、地图和详情抽屉可并行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768–1199px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侧栏收起，筛选折叠，双栏表单改为单栏，详情抽屉覆盖主区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&lt;768px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导航改为抽屉；表格转卡片或横向滚动；保留查看、审批和拍照上传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正文对比度至少 4.5:1，大字至少 3:1。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所有交互支持键盘，焦点环为 2px 珊瑚色外框并保留间隔。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图标按钮提供可读名称；表单错误与字段建立程序化关联。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图表提供文本摘要或数据表；颜色不是唯一信息载体。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支持 200% 缩放，内容不遮挡，主要操作仍可到达。</w:t>
      </w:r>
    </w:p>
    <w:p>
      <w:pPr>
        <w:pStyle w:val="Heading1"/>
      </w:pPr>
      <w:r>
        <w:t>九 原型连线与演示数据</w:t>
      </w:r>
    </w:p>
    <w:p>
      <w:pPr>
        <w:pStyle w:val="Heading2"/>
      </w:pPr>
      <w:r>
        <w:t>1 必须打通的原型流程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登录 → 经营工作台 → 高风险待办 → 对象详情。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资源列表 → 新建点位与广告面 → 查看租赁历史。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客户详情 → 新建合同 → 租期冲突校验 → 提交确认 → 确认通过。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财务与回款 → 登记收款 → 分配核销 → 查看客户资金时间线。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巡检记录 → 严重缺陷 → 自动暂停经营 → 维修任务 → 复核恢复。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6. 合同智能录入 → 查看来源 → 修改字段 → 规则校验 → 生成合同草稿。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7. 分析页 → 指标下钻 → 导出；AI 助手 → 查看来源 → 生成建议操作。</w:t>
      </w:r>
    </w:p>
    <w:p>
      <w:pPr>
        <w:pStyle w:val="Heading2"/>
      </w:pPr>
      <w:r>
        <w:t>2 建议演示数据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3402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02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示例值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广告牌总数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286 块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在营广告牌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214 块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经营率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74.8%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本年合同额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1,842 万元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本年已回款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1,276 万元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回款率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69.3%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逾期应收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86.4 万元，5 笔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临期合同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 份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严重缺陷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 项</w:t>
            </w:r>
          </w:p>
        </w:tc>
      </w:tr>
    </w:tbl>
    <w:p>
      <w:pPr>
        <w:spacing w:after="20"/>
      </w:pPr>
    </w:p>
    <w:p>
      <w:pPr>
        <w:pStyle w:val="Heading1"/>
      </w:pPr>
      <w:r>
        <w:t>十 设计交付清单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全局样式：颜色、字体、间距、栅格、图标、圆角、阴影和语义状态。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组件库：按钮、输入、选择、日期、上传、表格、标签、分页、弹窗、抽屉、提示、空状态和骨架。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至少 16 类核心页面及其关键状态，画板命名统一为 模块 页面 状态 断点。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完整原型连线、返回逻辑、悬停、焦点、禁用、加载、成功、失败和无权限状态。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开发标注包含尺寸、间距、色值、字号、行高、组件状态、响应式规则和交互说明。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图标优先使用统一线性图标库，不混用不同笔画或风格。</w:t>
      </w:r>
    </w:p>
    <w:p>
      <w:pPr>
        <w:pStyle w:val="Heading1"/>
      </w:pPr>
      <w:r>
        <w:t>十一 可直接粘贴到设计软件的总提示词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请为高速公路广告牌经营管理系统设计一套完整的企业级 Web 原型。基准画板为 1440×900，使用深色可折叠侧栏、64px 顶栏和暖米色主画布。视觉风格温暖、可信、克制、专业，主背景 #FAF9F5，主文字 #141413，珊瑚色 #CC785C 仅用于主操作与选中状态。产品必须覆盖经营工作台、监控页、分析页、广告资源、客户、合同、财务与回款、巡检维护、AI 经营助手和系统管理。优先保证高密度数据的扫描、比较、下钻和追溯，不使用营销型大标题、玻璃拟态、紫色渐变或无意义卡片。每个核心页面都要设计正常、空数据、加载、校验失败、网络错误、无权限和依赖故障状态。合同、核销、退款、作废和配置变更必须显示对象、影响范围、规则校验、确认人和审计入口。AI 回答需要显示模型、生成时间、来源、数据时间和权限范围，并把系统事实与 AI 建议分开。完整建立组件库、响应式规则和可点击流程，确保 1366×768 可完成所有核心操作。</w:t>
      </w:r>
    </w:p>
    <w:sectPr w:rsidR="00FC693F" w:rsidRPr="0006063C" w:rsidSect="00034616">
      <w:footerReference w:type="default" r:id="rId9"/>
      <w:pgSz w:w="12240" w:h="15840"/>
      <w:pgMar w:top="1134" w:right="1219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C5C5C"/>
        <w:sz w:val="16"/>
      </w:rPr>
      <w:t>高速公路广告牌经营管理系统  原型界面设计文档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