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合同管理——一份合同选多块广告牌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我希望在一份合同中关联一块或多块广告牌并分别设置租赁期限，</w:t>
      </w:r>
    </w:p>
    <w:p>
      <w:r>
        <w:t>以便满足客户同时租赁多块牌的业务场景。</w:t>
      </w:r>
    </w:p>
    <w:p>
      <w:pPr>
        <w:pStyle w:val="21"/>
      </w:pPr>
      <w:r>
        <w:t>2. 业务背景（Why）</w:t>
      </w:r>
    </w:p>
    <w:p>
      <w:r>
        <w:t>一个客户常同时租赁同一高速路段的多块广告牌，需要在一份合同下关联多块广告牌，建立合同与广告牌之间的多对多关系，并为每块牌设置各自的租赁期限。</w:t>
      </w:r>
    </w:p>
    <w:p>
      <w:pPr>
        <w:pStyle w:val="21"/>
      </w:pPr>
      <w:r>
        <w:t>3. 用户角色（Who）</w:t>
      </w:r>
    </w:p>
    <w:p>
      <w:r>
        <w:t>主要角色：合同管理员；负责在合同中选择并关联广告牌。</w:t>
      </w:r>
    </w:p>
    <w:p>
      <w:r>
        <w:t>其他角色：售后维护人员（配合确认广告牌位置）、部门领导（查看合同广告牌明细）。</w:t>
      </w:r>
    </w:p>
    <w:p>
      <w:pPr>
        <w:pStyle w:val="21"/>
      </w:pPr>
      <w:r>
        <w:t>4. 功能需求（What）</w:t>
      </w:r>
    </w:p>
    <w:p>
      <w:r>
        <w:t>• 选择广告牌：在合同明细中从广告牌档案选择一块或多块广告牌。</w:t>
      </w:r>
    </w:p>
    <w:p>
      <w:r>
        <w:t>• 分牌租期：为每块关联广告牌分别设置租赁开始和结束日期。</w:t>
      </w:r>
    </w:p>
    <w:p>
      <w:r>
        <w:t>• 明细列表：在合同中展示已选广告牌清单及其租赁期限。</w:t>
      </w:r>
    </w:p>
    <w:p>
      <w:r>
        <w:t>• 移除广告牌：在合同生效前可移除误选的广告牌。</w:t>
      </w:r>
    </w:p>
    <w:p>
      <w:pPr>
        <w:pStyle w:val="21"/>
      </w:pPr>
      <w:r>
        <w:t>5. 数据需求业务对象（Data）</w:t>
      </w:r>
    </w:p>
    <w:p>
      <w:r>
        <w:t>• 合同广告牌明细：合同编号、广告牌编号、租赁开始日期、租赁结束日期。</w:t>
      </w:r>
    </w:p>
    <w:p>
      <w:pPr>
        <w:pStyle w:val="21"/>
      </w:pPr>
      <w:r>
        <w:t>6. 业务规则（Rule）</w:t>
      </w:r>
    </w:p>
    <w:p>
      <w:r>
        <w:t>• 一份合同可以关联多块广告牌。</w:t>
      </w:r>
    </w:p>
    <w:p>
      <w:r>
        <w:t>• 每块广告牌在合同中可设置各自的租赁期限。</w:t>
      </w:r>
    </w:p>
    <w:p>
      <w:r>
        <w:t>• 合同生效后明细不可随意增删，需走合同变更流程。</w:t>
      </w:r>
    </w:p>
    <w:p>
      <w:r>
        <w:t>• 选择已被其他生效合同重叠占用的广告牌时系统提示。</w:t>
      </w:r>
    </w:p>
    <w:p>
      <w:r>
        <w:t>• 需求依据：甲方《公路广告牌管理系统需求说明》§3.2 合同广告牌明细；TAPD需求梳理定稿 P4-02。</w:t>
      </w:r>
    </w:p>
    <w:p>
      <w:pPr>
        <w:pStyle w:val="21"/>
      </w:pPr>
      <w:r>
        <w:t>7. 验收标准</w:t>
      </w:r>
    </w:p>
    <w:p>
      <w:r>
        <w:t>• 一份合同可关联至少两块广告牌。</w:t>
      </w:r>
    </w:p>
    <w:p>
      <w:r>
        <w:t>• 每块广告牌可设置不同的租赁期限。</w:t>
      </w:r>
    </w:p>
    <w:p>
      <w:r>
        <w:t>• 合同明细展示已选广告牌及其租期。</w:t>
      </w:r>
    </w:p>
    <w:p>
      <w:r>
        <w:t>• 合同生效前可移除广告牌，生效后不可直接删除。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