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经营统计报表——收款情况报表</w:t>
      </w:r>
    </w:p>
    <w:p>
      <w:r>
        <w:t>所属项目：高速公路广告牌管理系统</w:t>
      </w:r>
    </w:p>
    <w:p>
      <w:r>
        <w:t>需求编号：03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作为部门领导，</w:t>
      </w:r>
    </w:p>
    <w:p>
      <w:r>
        <w:t>我希望按期间、客户、款项类型统计实际收款金额与笔数，</w:t>
      </w:r>
    </w:p>
    <w:p>
      <w:r>
        <w:t>以便掌握现金回款节奏与来源结构。</w:t>
      </w:r>
    </w:p>
    <w:p>
      <w:pPr>
        <w:pStyle w:val="21"/>
      </w:pPr>
      <w:r>
        <w:t>2. 业务背景（Why）</w:t>
      </w:r>
    </w:p>
    <w:p>
      <w:r>
        <w:t>领导需要定期了解实际到账情况：哪些客户回款多、哪类款项（合同款、履约金等）占比高、回款是否达标，作为经营分析依据。</w:t>
      </w:r>
    </w:p>
    <w:p>
      <w:pPr>
        <w:pStyle w:val="21"/>
      </w:pPr>
      <w:r>
        <w:t>3. 用户角色（Who）</w:t>
      </w:r>
    </w:p>
    <w:p>
      <w:r>
        <w:t>主要角色：部门领导（只读查看报表）</w:t>
      </w:r>
    </w:p>
    <w:p>
      <w:r>
        <w:t>其他角色：财务管理员（提供收款数据、只读查看）</w:t>
      </w:r>
    </w:p>
    <w:p>
      <w:pPr>
        <w:pStyle w:val="21"/>
      </w:pPr>
      <w:r>
        <w:t>4. 功能需求（What）</w:t>
      </w:r>
    </w:p>
    <w:p>
      <w:r>
        <w:t>• 按收款期间统计收款总金额与笔数</w:t>
      </w:r>
    </w:p>
    <w:p>
      <w:r>
        <w:t>• 按客户、款项类型、付款方式分组汇总</w:t>
      </w:r>
    </w:p>
    <w:p>
      <w:r>
        <w:t>• 展示本期收款与上期对比趋势</w:t>
      </w:r>
    </w:p>
    <w:p>
      <w:r>
        <w:t>• 支持时间范围与维度筛选</w:t>
      </w:r>
    </w:p>
    <w:p>
      <w:pPr>
        <w:pStyle w:val="21"/>
      </w:pPr>
      <w:r>
        <w:t>5. 数据需求业务对象（Data）</w:t>
      </w:r>
    </w:p>
    <w:p>
      <w:r>
        <w:t>• 收款流水（客户、收款日期、收款金额、款项类型、付款方式）</w:t>
      </w:r>
    </w:p>
    <w:p>
      <w:pPr>
        <w:pStyle w:val="21"/>
      </w:pPr>
      <w:r>
        <w:t>6. 业务规则（Rule）</w:t>
      </w:r>
    </w:p>
    <w:p>
      <w:r>
        <w:t>• 收款数据来源于已登记的收款流水</w:t>
      </w:r>
    </w:p>
    <w:p>
      <w:r>
        <w:t>• 部门领导只读查看</w:t>
      </w:r>
    </w:p>
    <w:p>
      <w:r>
        <w:t>• 报表金额口径与收款流水一致，挂账未分配款项不计入已核销收款</w:t>
      </w:r>
    </w:p>
    <w:p>
      <w:r>
        <w:t>• 需求依据：甲方《公路广告牌管理系统需求说明》§7 经营统计报表（收款情况报表）；TAPD需求梳理定稿 P6-03。</w:t>
      </w:r>
    </w:p>
    <w:p>
      <w:pPr>
        <w:pStyle w:val="21"/>
      </w:pPr>
      <w:r>
        <w:t>7. 验收标准</w:t>
      </w:r>
    </w:p>
    <w:p>
      <w:r>
        <w:t>• 可按期间/客户/款项类型统计收款金额与笔数</w:t>
      </w:r>
    </w:p>
    <w:p>
      <w:r>
        <w:t>• 汇总金额与收款流水一致</w:t>
      </w:r>
    </w:p>
    <w:p>
      <w:r>
        <w:t>• 部门领导只读查看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