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广告牌资产管理——记三个桩号</w:t>
      </w:r>
    </w:p>
    <w:p>
      <w:r>
        <w:t>所属项目：高速公路广告牌管理系统</w:t>
      </w:r>
    </w:p>
    <w:p>
      <w:r>
        <w:t>需求编号：03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作为运营档案员，</w:t>
      </w:r>
    </w:p>
    <w:p>
      <w:r>
        <w:t>我希望在广告牌档案中分别记录合同桩号、现场桩号和路政批复桩号，</w:t>
      </w:r>
    </w:p>
    <w:p>
      <w:r>
        <w:t>以便在合同履约、现场核查和路政合规比对时使用各自口径的桩号而不互相覆盖。</w:t>
      </w:r>
    </w:p>
    <w:p>
      <w:pPr>
        <w:pStyle w:val="21"/>
      </w:pPr>
      <w:r>
        <w:t>2. 业务背景（Why）</w:t>
      </w:r>
    </w:p>
    <w:p>
      <w:r>
        <w:t>高速公路广告牌在业务中涉及三个不同来源的桩号：合同约定桩号、现场实际桩号、路政批复桩号。三者口径不同，不能互相覆盖。需要在广告牌档案中分别记录三个桩号，便于合同履约核对、现场核查和路政合规比对。</w:t>
      </w:r>
    </w:p>
    <w:p>
      <w:pPr>
        <w:pStyle w:val="21"/>
      </w:pPr>
      <w:r>
        <w:t>3. 用户角色（Who）</w:t>
      </w:r>
    </w:p>
    <w:p>
      <w:r>
        <w:t>主要角色：运营档案员；负责在广告牌档案中分别录入三个桩号。</w:t>
      </w:r>
    </w:p>
    <w:p>
      <w:r>
        <w:t>其他角色：合同管理员在合同核对时查看合同桩号；售后维护人员在现场维护时查看现场桩号。</w:t>
      </w:r>
    </w:p>
    <w:p>
      <w:pPr>
        <w:pStyle w:val="21"/>
      </w:pPr>
      <w:r>
        <w:t>4. 功能需求（What）</w:t>
      </w:r>
    </w:p>
    <w:p>
      <w:r>
        <w:t>• 在广告牌档案中分别登记合同桩号、现场桩号、路政批复桩号三个字段。</w:t>
      </w:r>
    </w:p>
    <w:p>
      <w:r>
        <w:t>• 三个桩号独立保存，互不覆盖。</w:t>
      </w:r>
    </w:p>
    <w:p>
      <w:r>
        <w:t>• 支持在档案详情中同时查看三个桩号。</w:t>
      </w:r>
    </w:p>
    <w:p>
      <w:r>
        <w:t>• 桩号按所属路段录入，便于定位广告牌位置。</w:t>
      </w:r>
    </w:p>
    <w:p>
      <w:pPr>
        <w:pStyle w:val="21"/>
      </w:pPr>
      <w:r>
        <w:t>5. 数据需求业务对象（Data）</w:t>
      </w:r>
    </w:p>
    <w:p>
      <w:r>
        <w:t>• 广告牌桩号记录：所属广告牌、合同桩号、现场桩号、路政批复桩号。</w:t>
      </w:r>
    </w:p>
    <w:p>
      <w:pPr>
        <w:pStyle w:val="21"/>
      </w:pPr>
      <w:r>
        <w:t>6. 业务规则（Rule）</w:t>
      </w:r>
    </w:p>
    <w:p>
      <w:r>
        <w:t>• 同一广告牌的合同桩号、现场桩号、路政批复桩号分别记录，三值互不覆盖。</w:t>
      </w:r>
    </w:p>
    <w:p>
      <w:r>
        <w:t>• 三个桩号为必填时，未填写不允许保存档案。</w:t>
      </w:r>
    </w:p>
    <w:p>
      <w:r>
        <w:t>• 桩号修改记录操作日志。</w:t>
      </w:r>
    </w:p>
    <w:p>
      <w:r>
        <w:t>• 需求依据：甲方《公路广告牌管理系统需求说明》§3.1 三个桩号；TAPD需求梳理定稿 P2-03。</w:t>
      </w:r>
    </w:p>
    <w:p>
      <w:pPr>
        <w:pStyle w:val="21"/>
      </w:pPr>
      <w:r>
        <w:t>7. 验收标准</w:t>
      </w:r>
    </w:p>
    <w:p>
      <w:r>
        <w:t>• 同一广告牌可分别录入合同桩号、现场桩号、路政批复桩号并各自保存。</w:t>
      </w:r>
    </w:p>
    <w:p>
      <w:r>
        <w:t>• 修改其中一个桩号时，另外两个桩号保持不变。</w:t>
      </w:r>
    </w:p>
    <w:p>
      <w:r>
        <w:t>• 档案详情中可同时看到三个桩号的值。</w:t>
      </w:r>
    </w:p>
    <w:p>
      <w:r>
        <w:t>• 三个桩号均未填写时不允许保存档案。</w:t>
      </w:r>
    </w:p>
    <w:p>
      <w:r>
        <w:t>• 桩号修改后操作日志中留有记录。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