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财务管理——客户只交一部分</w:t>
      </w:r>
    </w:p>
    <w:p>
      <w:r>
        <w:t>所属项目：高速公路广告牌管理系统</w:t>
      </w:r>
    </w:p>
    <w:p>
      <w:r>
        <w:t>需求编号：04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我希望客户只交一部分款时仍能登记并部分核销应收账单，系统自动计算剩余欠款，</w:t>
      </w:r>
    </w:p>
    <w:p>
      <w:r>
        <w:t>以便一条应收由多次付款逐步结清。</w:t>
      </w:r>
    </w:p>
    <w:p>
      <w:pPr>
        <w:pStyle w:val="21"/>
      </w:pPr>
      <w:r>
        <w:t>2. 业务背景（Why）</w:t>
      </w:r>
    </w:p>
    <w:p>
      <w:r>
        <w:t>客户常按进度分期付款，一笔应收可能分多次到账。系统需支持部分核销：收款金额小于账单未收金额时，按实收金额核销并自动更新剩余欠款，不必等全额到账才登记。</w:t>
      </w:r>
    </w:p>
    <w:p>
      <w:pPr>
        <w:pStyle w:val="21"/>
      </w:pPr>
      <w:r>
        <w:t>3. 用户角色（Who）</w:t>
      </w:r>
    </w:p>
    <w:p>
      <w:r>
        <w:t>主要角色：财务管理员（部分缴款核销）</w:t>
      </w:r>
    </w:p>
    <w:p>
      <w:r>
        <w:t>其他角色：部门领导（查看部分到账后的欠款）</w:t>
      </w:r>
    </w:p>
    <w:p>
      <w:pPr>
        <w:pStyle w:val="21"/>
      </w:pPr>
      <w:r>
        <w:t>4. 功能需求（What）</w:t>
      </w:r>
    </w:p>
    <w:p>
      <w:r>
        <w:t>• 收款金额小于账单未收金额时，按实际收款金额部分核销</w:t>
      </w:r>
    </w:p>
    <w:p>
      <w:r>
        <w:t>• 部分核销后系统自动重算该账单剩余未收（欠款）金额</w:t>
      </w:r>
    </w:p>
    <w:p>
      <w:r>
        <w:t>• 一条应收账单允许由多笔收款分次核销直至结清</w:t>
      </w:r>
    </w:p>
    <w:p>
      <w:r>
        <w:t>• 记录每次核销金额、时间与操作人</w:t>
      </w:r>
    </w:p>
    <w:p>
      <w:pPr>
        <w:pStyle w:val="21"/>
      </w:pPr>
      <w:r>
        <w:t>5. 数据需求业务对象（Data）</w:t>
      </w:r>
    </w:p>
    <w:p>
      <w:r>
        <w:t>• 应收账单（未收金额随核销更新）</w:t>
      </w:r>
    </w:p>
    <w:p>
      <w:r>
        <w:t>• 收款流水</w:t>
      </w:r>
    </w:p>
    <w:p>
      <w:r>
        <w:t>• 核销明细（收款流水、应收账单、核销金额、核销时间、操作人）</w:t>
      </w:r>
    </w:p>
    <w:p>
      <w:pPr>
        <w:pStyle w:val="21"/>
      </w:pPr>
      <w:r>
        <w:t>6. 业务规则（Rule）</w:t>
      </w:r>
    </w:p>
    <w:p>
      <w:r>
        <w:t>• 单次核销金额不得超过该应收账单当前未收金额</w:t>
      </w:r>
    </w:p>
    <w:p>
      <w:r>
        <w:t>• 部分缴款后账单状态随已收比例更新，全部核销完毕标记为已收清</w:t>
      </w:r>
    </w:p>
    <w:p>
      <w:r>
        <w:t>• 剩余欠款＝应收金额－累计已核销金额</w:t>
      </w:r>
    </w:p>
    <w:p>
      <w:r>
        <w:t>• 需求依据：甲方《公路广告牌管理系统需求说明》§6 财务管理（部分缴款与多账单核销）；TAPD需求梳理定稿 P5-04。</w:t>
      </w:r>
    </w:p>
    <w:p>
      <w:pPr>
        <w:pStyle w:val="21"/>
      </w:pPr>
      <w:r>
        <w:t>7. 验收标准</w:t>
      </w:r>
    </w:p>
    <w:p>
      <w:r>
        <w:t>• 一笔应收可由多笔收款分次核销</w:t>
      </w:r>
    </w:p>
    <w:p>
      <w:r>
        <w:t>• 部分核销后剩余欠款自动计算且正确</w:t>
      </w:r>
    </w:p>
    <w:p>
      <w:r>
        <w:t>• 核销金额超过未收金额时被系统拒绝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