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经营统计报表——应收欠款报表</w:t>
      </w:r>
    </w:p>
    <w:p>
      <w:r>
        <w:t>所属项目：高速公路广告牌管理系统</w:t>
      </w:r>
    </w:p>
    <w:p>
      <w:r>
        <w:t>需求编号：04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我希望按客户、账龄、逾期情况统计应收欠款余额，</w:t>
      </w:r>
    </w:p>
    <w:p>
      <w:r>
        <w:t>以便掌握资金回笼风险并督促催收。</w:t>
      </w:r>
    </w:p>
    <w:p>
      <w:pPr>
        <w:pStyle w:val="21"/>
      </w:pPr>
      <w:r>
        <w:t>2. 业务背景（Why）</w:t>
      </w:r>
    </w:p>
    <w:p>
      <w:r>
        <w:t>欠款直接影响现金流，领导需要集中查看哪些客户欠多少、是否超期、账龄分布如何，为催收和信用管理提供依据。</w:t>
      </w:r>
    </w:p>
    <w:p>
      <w:pPr>
        <w:pStyle w:val="21"/>
      </w:pPr>
      <w:r>
        <w:t>3. 用户角色（Who）</w:t>
      </w:r>
    </w:p>
    <w:p>
      <w:r>
        <w:t>主要角色：部门领导（只读查看报表）</w:t>
      </w:r>
    </w:p>
    <w:p>
      <w:r>
        <w:t>其他角色：财务管理员（提供应收数据、只读查看）</w:t>
      </w:r>
    </w:p>
    <w:p>
      <w:pPr>
        <w:pStyle w:val="21"/>
      </w:pPr>
      <w:r>
        <w:t>4. 功能需求（What）</w:t>
      </w:r>
    </w:p>
    <w:p>
      <w:r>
        <w:t>• 按客户汇总应收、已收、欠款余额</w:t>
      </w:r>
    </w:p>
    <w:p>
      <w:r>
        <w:t>• 按账龄区间（如未到期、逾期各档）统计欠款</w:t>
      </w:r>
    </w:p>
    <w:p>
      <w:r>
        <w:t>• 标记超过付款期限的逾期账单</w:t>
      </w:r>
    </w:p>
    <w:p>
      <w:r>
        <w:t>• 支持时间范围与客户筛选</w:t>
      </w:r>
    </w:p>
    <w:p>
      <w:pPr>
        <w:pStyle w:val="21"/>
      </w:pPr>
      <w:r>
        <w:t>5. 数据需求业务对象（Data）</w:t>
      </w:r>
    </w:p>
    <w:p>
      <w:r>
        <w:t>• 应收账单（应收金额、已收金额、未收金额、付款期限、状态）</w:t>
      </w:r>
    </w:p>
    <w:p>
      <w:r>
        <w:t>• 收款核销数据</w:t>
      </w:r>
    </w:p>
    <w:p>
      <w:pPr>
        <w:pStyle w:val="21"/>
      </w:pPr>
      <w:r>
        <w:t>6. 业务规则（Rule）</w:t>
      </w:r>
    </w:p>
    <w:p>
      <w:r>
        <w:t>• 欠款＝应收金额－已收金额，口径与财务模块一致</w:t>
      </w:r>
    </w:p>
    <w:p>
      <w:r>
        <w:t>• 逾期以账单付款期限与当前日期比较判定</w:t>
      </w:r>
    </w:p>
    <w:p>
      <w:r>
        <w:t>• 部门领导只读查看，不可修改账单</w:t>
      </w:r>
    </w:p>
    <w:p>
      <w:r>
        <w:t>• 需求依据：甲方《公路广告牌管理系统需求说明》§7 经营统计报表（应收欠款报表）；TAPD需求梳理定稿 P6-04。</w:t>
      </w:r>
    </w:p>
    <w:p>
      <w:pPr>
        <w:pStyle w:val="21"/>
      </w:pPr>
      <w:r>
        <w:t>7. 验收标准</w:t>
      </w:r>
    </w:p>
    <w:p>
      <w:r>
        <w:t>• 可按客户汇总欠款并按账龄/逾期分类</w:t>
      </w:r>
    </w:p>
    <w:p>
      <w:r>
        <w:t>• 欠款与逾期判定口径正确</w:t>
      </w:r>
    </w:p>
    <w:p>
      <w:r>
        <w:t>• 部门领导只读查看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