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账号与系统管理——操作留痕查询</w:t>
      </w:r>
    </w:p>
    <w:p>
      <w:r>
        <w:t>所属项目：高速公路广告牌管理系统</w:t>
      </w:r>
    </w:p>
    <w:p>
      <w:r>
        <w:t>需求编号：05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作为系统管理员，</w:t>
      </w:r>
    </w:p>
    <w:p>
      <w:r>
        <w:t>我希望对关键业务操作保留操作日志并支持按条件查询，</w:t>
      </w:r>
    </w:p>
    <w:p>
      <w:r>
        <w:t>以便在出现数据争议或错误时追溯操作人、时间和变更内容。</w:t>
      </w:r>
    </w:p>
    <w:p>
      <w:pPr>
        <w:pStyle w:val="21"/>
      </w:pPr>
      <w:r>
        <w:t>2. 业务背景（Why）</w:t>
      </w:r>
    </w:p>
    <w:p>
      <w:r>
        <w:t>系统涉及广告牌档案、合同、收款等关键业务数据的新增、修改、删除，一旦发生数据争议或错误，需要追溯是谁、在什么时间、改了什么。需要对关键业务操作自动保留操作日志，并支持按操作人、时间、模块和单据查询，解决操作责任难以追溯的问题。</w:t>
      </w:r>
    </w:p>
    <w:p>
      <w:pPr>
        <w:pStyle w:val="21"/>
      </w:pPr>
      <w:r>
        <w:t>3. 用户角色（Who）</w:t>
      </w:r>
    </w:p>
    <w:p>
      <w:r>
        <w:t>主要角色：系统管理员；负责查询和审计关键业务操作日志。</w:t>
      </w:r>
    </w:p>
    <w:p>
      <w:r>
        <w:t>其他角色：部门领导；可查看相关操作记录用于监督；各业务岗位人员按权限查询职责范围内的操作留痕。</w:t>
      </w:r>
    </w:p>
    <w:p>
      <w:pPr>
        <w:pStyle w:val="21"/>
      </w:pPr>
      <w:r>
        <w:t>4. 功能需求（What）</w:t>
      </w:r>
    </w:p>
    <w:p>
      <w:r>
        <w:t>• 关键业务操作（登录、新增、修改、删除、导出、权限变更等）自动记录操作日志。</w:t>
      </w:r>
    </w:p>
    <w:p>
      <w:r>
        <w:t>• 日志记录操作人、操作时间、操作模块、操作类型、变更前后内容。</w:t>
      </w:r>
    </w:p>
    <w:p>
      <w:r>
        <w:t>• 支持按操作人、操作时间范围、业务模块、操作类型组合查询。</w:t>
      </w:r>
    </w:p>
    <w:p>
      <w:r>
        <w:t>• 支持按具体业务单据（如某块广告牌、某份合同）查询其操作历史。</w:t>
      </w:r>
    </w:p>
    <w:p>
      <w:r>
        <w:t>• 操作日志只允许查询，不允许业务用户修改或删除。</w:t>
      </w:r>
    </w:p>
    <w:p>
      <w:pPr>
        <w:pStyle w:val="21"/>
      </w:pPr>
      <w:r>
        <w:t>5. 数据需求业务对象（Data）</w:t>
      </w:r>
    </w:p>
    <w:p>
      <w:r>
        <w:t>• 操作日志：日志编号、操作人、操作时间、操作模块、操作类型、业务单据ID、变更前内容、变更后内容、IP地址。</w:t>
      </w:r>
    </w:p>
    <w:p>
      <w:r>
        <w:t>• 业务单据关联：日志与具体广告牌、合同、收款单等业务记录的关联。</w:t>
      </w:r>
    </w:p>
    <w:p>
      <w:pPr>
        <w:pStyle w:val="21"/>
      </w:pPr>
      <w:r>
        <w:t>6. 业务规则（Rule）</w:t>
      </w:r>
    </w:p>
    <w:p>
      <w:r>
        <w:t>• 关键业务操作必须记录操作人、时间和变更内容。</w:t>
      </w:r>
    </w:p>
    <w:p>
      <w:r>
        <w:t>• 已经关联合同或资金记录的数据不得直接物理删除。</w:t>
      </w:r>
    </w:p>
    <w:p>
      <w:r>
        <w:t>• 删除和解除等关键操作必须进行二次确认，并记入日志。</w:t>
      </w:r>
    </w:p>
    <w:p>
      <w:r>
        <w:t>• 操作日志一经记录不可修改或删除。</w:t>
      </w:r>
    </w:p>
    <w:p>
      <w:r>
        <w:t>• 日志查询按权限控制范围，普通用户仅可查询职责范围内的操作记录。</w:t>
      </w:r>
    </w:p>
    <w:p>
      <w:r>
        <w:t>• 需求依据：甲方《公路广告牌管理系统需求说明》§3.6 操作日志；TAPD需求梳理定稿 P1-05。</w:t>
      </w:r>
    </w:p>
    <w:p>
      <w:pPr>
        <w:pStyle w:val="21"/>
      </w:pPr>
      <w:r>
        <w:t>7. 验收标准</w:t>
      </w:r>
    </w:p>
    <w:p>
      <w:r>
        <w:t>• 对广告牌档案执行修改后，操作日志中可查到操作人、时间和变更前后内容。</w:t>
      </w:r>
    </w:p>
    <w:p>
      <w:r>
        <w:t>• 按操作人加时间范围查询，可列出该用户在该时段的全部关键操作。</w:t>
      </w:r>
    </w:p>
    <w:p>
      <w:r>
        <w:t>• 打开某块广告牌档案，可查询到该档案的全部操作历史。</w:t>
      </w:r>
    </w:p>
    <w:p>
      <w:r>
        <w:t>• 删除操作时弹出二次确认，确认后日志中留有删除记录。</w:t>
      </w:r>
    </w:p>
    <w:p>
      <w:r>
        <w:t>• 普通业务用户无法在界面上修改或删除操作日志。</w:t>
      </w:r>
    </w:p>
    <w:p>
      <w:r>
        <w:t>• 越权查询他人敏感操作日志时被拒绝。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