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广告牌资产管理——广告牌新增/拆除/移位</w:t>
      </w:r>
    </w:p>
    <w:p>
      <w:r>
        <w:t>所属项目：高速公路广告牌管理系统</w:t>
      </w:r>
    </w:p>
    <w:p>
      <w:r>
        <w:t>需求编号：07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作为运营档案员，</w:t>
      </w:r>
    </w:p>
    <w:p>
      <w:r>
        <w:t>我希望对广告牌的新建启用、拆除和移位进行登记并保留变动记录，</w:t>
      </w:r>
    </w:p>
    <w:p>
      <w:r>
        <w:t>以便广告牌资产变动可追溯，原位置和历史状态可查。</w:t>
      </w:r>
    </w:p>
    <w:p>
      <w:pPr>
        <w:pStyle w:val="21"/>
      </w:pPr>
      <w:r>
        <w:t>2. 业务背景（Why）</w:t>
      </w:r>
    </w:p>
    <w:p>
      <w:r>
        <w:t>高速公路广告牌在生命周期中会发生新建启用、拆除和移位等变动。这些变动改变了资产的位置和状态，需要保留变动记录（申请、前后内容、确认人和时间），使资产变动可追溯，历史状态可查。</w:t>
      </w:r>
    </w:p>
    <w:p>
      <w:pPr>
        <w:pStyle w:val="21"/>
      </w:pPr>
      <w:r>
        <w:t>3. 用户角色（Who）</w:t>
      </w:r>
    </w:p>
    <w:p>
      <w:r>
        <w:t>主要角色：运营档案员；发起广告牌新建启用、拆除和移位的变动登记。</w:t>
      </w:r>
    </w:p>
    <w:p>
      <w:r>
        <w:t>其他角色：部门领导或指定确认人对变动进行确认；售后维护人员配合现场变动。</w:t>
      </w:r>
    </w:p>
    <w:p>
      <w:pPr>
        <w:pStyle w:val="21"/>
      </w:pPr>
      <w:r>
        <w:t>4. 功能需求（What）</w:t>
      </w:r>
    </w:p>
    <w:p>
      <w:r>
        <w:t>• 支持对广告牌登记新建启用，记录启用时间和初始状态。</w:t>
      </w:r>
    </w:p>
    <w:p>
      <w:r>
        <w:t>• 支持登记拆除，记录拆除时间和原因，原位置和状态保留为历史。</w:t>
      </w:r>
    </w:p>
    <w:p>
      <w:r>
        <w:t>• 支持登记移位（位置变更），记录变更前后桩号和位置。</w:t>
      </w:r>
    </w:p>
    <w:p>
      <w:r>
        <w:t>• 变动记录保存申请内容、变更前后信息、确认人和确认时间。</w:t>
      </w:r>
    </w:p>
    <w:p>
      <w:r>
        <w:t>• 变动经确认后正式生效，驳回则不改正式状态。</w:t>
      </w:r>
    </w:p>
    <w:p>
      <w:r>
        <w:t>• 可查看广告牌的变动历史和前后差异。</w:t>
      </w:r>
    </w:p>
    <w:p>
      <w:pPr>
        <w:pStyle w:val="21"/>
      </w:pPr>
      <w:r>
        <w:t>5. 数据需求业务对象（Data）</w:t>
      </w:r>
    </w:p>
    <w:p>
      <w:r>
        <w:t>• 广告牌变动记录：变动编号、所属广告牌、变动类型（新建启用/拆除/移位）、变更前内容、变更后内容、申请人、申请时间、确认人、确认时间、状态。</w:t>
      </w:r>
    </w:p>
    <w:p>
      <w:pPr>
        <w:pStyle w:val="21"/>
      </w:pPr>
      <w:r>
        <w:t>6. 业务规则（Rule）</w:t>
      </w:r>
    </w:p>
    <w:p>
      <w:r>
        <w:t>• 移位时原位置和状态保留历史，新位置记录在案。</w:t>
      </w:r>
    </w:p>
    <w:p>
      <w:r>
        <w:t>• 变动需经非制单人确认后生效（双人确认方式待甲方确认）。</w:t>
      </w:r>
    </w:p>
    <w:p>
      <w:r>
        <w:t>• 驳回的变动不改变广告牌正式状态。</w:t>
      </w:r>
    </w:p>
    <w:p>
      <w:r>
        <w:t>• 变动历史可查看变更前后差异。</w:t>
      </w:r>
    </w:p>
    <w:p>
      <w:r>
        <w:t>• 变动是否需要双人确认及适用条件待甲方确认。</w:t>
      </w:r>
    </w:p>
    <w:p>
      <w:r>
        <w:t>• 需求依据：甲方《公路广告牌管理系统需求说明》§六 待定问题；TAPD需求梳理定稿 P2-07。</w:t>
      </w:r>
    </w:p>
    <w:p>
      <w:pPr>
        <w:pStyle w:val="21"/>
      </w:pPr>
      <w:r>
        <w:t>7. 验收标准</w:t>
      </w:r>
    </w:p>
    <w:p>
      <w:r>
        <w:t>• 可对广告牌登记新建启用、拆除、移位三类变动并保存。</w:t>
      </w:r>
    </w:p>
    <w:p>
      <w:r>
        <w:t>• 移位记录中可看到变更前后的桩号和位置。</w:t>
      </w:r>
    </w:p>
    <w:p>
      <w:r>
        <w:t>• 变动确认后广告牌正式状态更新为变动后状态。</w:t>
      </w:r>
    </w:p>
    <w:p>
      <w:r>
        <w:t>• 驳回的变动不改变广告牌正式状态。</w:t>
      </w:r>
    </w:p>
    <w:p>
      <w:r>
        <w:t>• 拆除后原位置和历史状态仍可查。</w:t>
      </w:r>
    </w:p>
    <w:p>
      <w:r>
        <w:t>• 可查看某块广告牌的全部变动历史及前后差异。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