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高速公路广告牌经营管理系统产品需求文档</w:t>
      </w:r>
    </w:p>
    <w:p>
      <w:pPr>
        <w:spacing w:after="440"/>
        <w:jc w:val="center"/>
      </w:pPr>
      <w:r>
        <w:rPr>
          <w:rFonts w:ascii="Microsoft YaHei" w:hAnsi="Microsoft YaHei" w:eastAsia="Microsoft YaHei"/>
          <w:color w:val="000000"/>
          <w:sz w:val="24"/>
        </w:rPr>
        <w:t>明确首期范围 业务规则 验收标准与产品边界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03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项目名称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高速公路广告牌经营管理系统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项目负责人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林家明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项目团队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林家明（产品、UI）、李嘉伟（后端）、刘俊义（后端）、祝贺（测试）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文档版本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V1.0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文档状态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待客户评审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基准日期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2026 年 9 月 16 日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提交对象</w:t>
            </w:r>
          </w:p>
        </w:tc>
        <w:tc>
          <w:tcPr>
            <w:tcW w:type="dxa" w:w="703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文档说明</w:t>
      </w:r>
    </w:p>
    <w:p>
      <w:r>
        <w:rPr>
          <w:rFonts w:ascii="Microsoft YaHei" w:hAnsi="Microsoft YaHei" w:eastAsia="Microsoft YaHei"/>
          <w:color w:val="000000"/>
          <w:sz w:val="21"/>
        </w:rPr>
        <w:t>本文档以 2026 年 9 月 15 日完成的需求调研为基础，记录已经确认的产品、业务、设计或技术决策。客户单位正式名称、客户侧业务负责人和阿里云地域在发布前补齐。</w:t>
      </w:r>
    </w:p>
    <w:p>
      <w:pPr>
        <w:pStyle w:val="Heading1"/>
      </w:pPr>
      <w:r>
        <w:t>一 产品概述</w:t>
      </w:r>
    </w:p>
    <w:p>
      <w:r>
        <w:rPr>
          <w:rFonts w:ascii="Microsoft YaHei" w:hAnsi="Microsoft YaHei" w:eastAsia="Microsoft YaHei"/>
          <w:color w:val="000000"/>
          <w:sz w:val="21"/>
        </w:rPr>
        <w:t>本产品面向高速公路沿线广告资源经营单位，统一管理广告牌资源、客户、租赁合同、应收实收、应付支出、发票、售后和经营分析。首期首先保证合同与资金业务闭环正确、账款可核对、状态可追溯，再逐步扩展智能问答和精细化分析。</w:t>
      </w:r>
    </w:p>
    <w:p>
      <w:pPr>
        <w:pStyle w:val="Heading2"/>
      </w:pPr>
      <w:r>
        <w:t>1 产品目标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所有有效广告资源、客户和合同均可在统一系统中检索与关联。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应收、收款、核销、挂账、退款与应付分别记录并能够相互核对。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合同、资金和合规事项的关键变更具备完整审计证据。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核心经营报表直接由业务事实生成，不允许手工填写汇总金额。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AI辅助合同录入和风险说明，但不直接改变正式业务记录。</w:t>
      </w:r>
    </w:p>
    <w:p>
      <w:pPr>
        <w:pStyle w:val="Heading2"/>
      </w:pPr>
      <w:r>
        <w:t>2 成功指标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2835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600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目标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资源与合同覆盖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上线范围内有效资源和有效合同 100% 可查询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账款核对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上线验收样本中应收 实收 核销与余额核对一致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核心流程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建档 签约 生成应收 收款核销 开票 报表完整通过验收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合同智能录入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固定样本集中关键字段准确率不低于 95%</w:t>
            </w:r>
          </w:p>
        </w:tc>
      </w:tr>
      <w:tr>
        <w:tc>
          <w:tcPr>
            <w:tcW w:type="dxa" w:w="283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可追溯性</w:t>
            </w:r>
          </w:p>
        </w:tc>
        <w:tc>
          <w:tcPr>
            <w:tcW w:type="dxa" w:w="6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关键合同与资金操作 100% 产生审计日志</w:t>
            </w:r>
          </w:p>
        </w:tc>
      </w:tr>
    </w:tbl>
    <w:p>
      <w:pPr>
        <w:spacing w:after="40"/>
      </w:pPr>
    </w:p>
    <w:p>
      <w:pPr>
        <w:pStyle w:val="Heading1"/>
      </w:pPr>
      <w:r>
        <w:t>二 用户与权限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64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主要职责</w:t>
            </w:r>
          </w:p>
        </w:tc>
        <w:tc>
          <w:tcPr>
            <w:tcW w:type="dxa" w:w="238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默认数据范围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运营档案员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路段 点位 广告面 合规手续和照片维护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指定运营单位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合同管理员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 合同 收费计划 变更 续签和解除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指定运营单位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财务管理员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 收付款 核销 挂账 应付 发票和财务报表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指定运营单位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售后维护人员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售后登记 处理 维修记录与费用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本人或指定运营单位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部门领导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跨单位查看经营数据和风险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授权单位或全部数据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系统管理员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账号 角色 配置和运行管理</w:t>
            </w:r>
          </w:p>
        </w:tc>
        <w:tc>
          <w:tcPr>
            <w:tcW w:type="dxa" w:w="238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不自动获得业务数据权限</w:t>
            </w:r>
          </w:p>
        </w:tc>
      </w:tr>
    </w:tbl>
    <w:p>
      <w:pPr>
        <w:spacing w:after="40"/>
      </w:pPr>
    </w:p>
    <w:p>
      <w:r>
        <w:rPr>
          <w:rFonts w:ascii="Microsoft YaHei" w:hAnsi="Microsoft YaHei" w:eastAsia="Microsoft YaHei"/>
          <w:color w:val="000000"/>
          <w:sz w:val="21"/>
        </w:rPr>
        <w:t>一个用户可以拥有多个角色。功能权限取角色并集，数据访问仍受本人、指定运营单位或全部数据范围限制。导出、批量下载和敏感字段查看使用独立权限。</w:t>
      </w:r>
    </w:p>
    <w:p>
      <w:pPr>
        <w:pStyle w:val="Heading1"/>
      </w:pPr>
      <w:r>
        <w:t>三 产品范围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714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范围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Must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资源档案 客户 合同 收费计划 应收 收款核销 挂账 发票 核心报表 权限 审计 合同智能录入 风险摘要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Should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应付付款 售后 合同变更 提醒 经营收益测算 PDF导出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Could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自然语言经营问答 地图 移动端增强 滞纳金 扩展看板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Won't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客户门户 在线支付 外部财务系统对接 自动电子发票 原生 App 广告内容审核 完整会计核算</w:t>
            </w:r>
          </w:p>
        </w:tc>
      </w:tr>
    </w:tbl>
    <w:p>
      <w:pPr>
        <w:spacing w:after="40"/>
      </w:pPr>
    </w:p>
    <w:p>
      <w:pPr>
        <w:pStyle w:val="Heading1"/>
      </w:pPr>
      <w:r>
        <w:t>四 核心业务需求</w:t>
      </w:r>
    </w:p>
    <w:p>
      <w:pPr>
        <w:pStyle w:val="Heading2"/>
      </w:pPr>
      <w:r>
        <w:t>1 广告资源管理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分别管理广告牌点位和可出租广告面。点位承载位置、产权与合规信息，广告面是合同租赁的最小资源。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经营状态包括空闲、已预占、出租中、暂停经营和已拆除，由合同和停用信息共同计算。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记录合同桩号、现场桩号和路政批复桩号，不因名称相近而覆盖。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合规手续按类型记录编号、生效日、到期日、附件和状态。</w:t>
      </w:r>
    </w:p>
    <w:p>
      <w:pPr>
        <w:pStyle w:val="Heading2"/>
      </w:pPr>
      <w:r>
        <w:t>2 客户管理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维护客户编号、名称、联系人、联系方式、地址、开票和银行信息。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黑名单客户不能创建新的生效合同，既有合同继续履行并进入风险提示。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联系方式和银行信息在普通列表中遮挡，完整查看需要独立权限。</w:t>
      </w:r>
    </w:p>
    <w:p>
      <w:pPr>
        <w:pStyle w:val="Heading2"/>
      </w:pPr>
      <w:r>
        <w:t>3 合同管理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一份合同可以关联多个广告面，每个广告面可以具有独立租期。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收费计划记录收费期间、应收金额和付款到期日，替代只能按自然年计费的年度价格。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合同经过制单和不同人员确认后占用租赁时段并生成应收。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已确认合同不得覆盖修改，通过变更单、续签或解除保留历史。</w:t>
      </w:r>
    </w:p>
    <w:p>
      <w:pPr>
        <w:pStyle w:val="Heading2"/>
      </w:pPr>
      <w:r>
        <w:t>4 应收与收款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合同确认后一次生成全部收费计划对应的应收，区分未到期、待收款、部分收款、已结清和逾期。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收款流水与应收账单独立保存，支持一笔收款核销多条应收及一条应收由多笔收款核销。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已确认客户但用途不明的款项进入客户挂账，付款人也不明确的款项进入待认领收款。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多付款可继续挂账或通过退款单退回，退款关联原收款或挂账来源。</w:t>
      </w:r>
    </w:p>
    <w:p>
      <w:pPr>
        <w:pStyle w:val="Heading2"/>
      </w:pPr>
      <w:r>
        <w:t>5 应付 发票与售后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路政费、保险费、维护费等形成独立应付和付款记录，不与应收台账混合。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发票记录可以关联客户、合同、应收和收款，首期不对接税务开票系统。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售后事项关联客户、合同或广告资源，保存责任人、状态、处理记录、费用和结果。</w:t>
      </w:r>
    </w:p>
    <w:p>
      <w:pPr>
        <w:pStyle w:val="Heading2"/>
      </w:pPr>
      <w:r>
        <w:t>6 AI 能力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合同 PDF 或图片经过文本提取或 OCR 后生成结构化合同草稿，并显示字段来源页码或原文片段。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到期、逾期和合规事实由确定性规则计算，AI负责整理风险摘要与处理建议。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文档问答只能检索用户有权访问的合同、制度、政策和操作手册，回答必须标注来源。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模型通过可配置 API Key 接入兼容 OpenAI 协议的国产大模型，测试时按效果选用通义或 DeepSeek。</w:t>
      </w:r>
    </w:p>
    <w:p>
      <w:pPr>
        <w:pStyle w:val="Heading1"/>
      </w:pPr>
      <w:r>
        <w:t>五 关键状态与规则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98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6860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状态或规则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广告面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空闲 已预占 出租中 暂停经营 已拆除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草稿 待确认 已生效 已到期 已解除 已作废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未到期 待收款 部分收款 已结清 逾期 已调整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售后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待处理 处理中 待验收 已完成 已关闭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删除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正式合同和资金记录不得删除，错误通过作废 冲销或调整处理</w:t>
            </w:r>
          </w:p>
        </w:tc>
      </w:tr>
      <w:tr>
        <w:tc>
          <w:tcPr>
            <w:tcW w:type="dxa" w:w="19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金额</w:t>
            </w:r>
          </w:p>
        </w:tc>
        <w:tc>
          <w:tcPr>
            <w:tcW w:type="dxa" w:w="686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定点数值保留两位小数，核销不得超过应收未收金额</w:t>
            </w:r>
          </w:p>
        </w:tc>
      </w:tr>
    </w:tbl>
    <w:p>
      <w:pPr>
        <w:spacing w:after="40"/>
      </w:pPr>
    </w:p>
    <w:p>
      <w:pPr>
        <w:pStyle w:val="Heading1"/>
      </w:pPr>
      <w:r>
        <w:t>六 报表与指标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814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报表</w:t>
            </w:r>
          </w:p>
        </w:tc>
        <w:tc>
          <w:tcPr>
            <w:tcW w:type="dxa" w:w="3969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主要指标</w:t>
            </w:r>
          </w:p>
        </w:tc>
        <w:tc>
          <w:tcPr>
            <w:tcW w:type="dxa" w:w="306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口径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资源经营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空闲 预占 出租中 暂停经营 拆除数量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广告面状态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合同执行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待开始 执行中 即将到期 已到期 已解除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合同与租期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应收欠款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应收 已核销 未收 逾期与账龄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收费期间和到期日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资金收支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收款 付款 退款 现金净流入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实际资金日期</w:t>
            </w:r>
          </w:p>
        </w:tc>
      </w:tr>
      <w:tr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经营收益测算</w:t>
            </w:r>
          </w:p>
        </w:tc>
        <w:tc>
          <w:tcPr>
            <w:tcW w:type="dxa" w:w="39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租金应收减已确认经营成本</w:t>
            </w:r>
          </w:p>
        </w:tc>
        <w:tc>
          <w:tcPr>
            <w:tcW w:type="dxa" w:w="306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不等同会计利润</w:t>
            </w:r>
          </w:p>
        </w:tc>
      </w:tr>
    </w:tbl>
    <w:p>
      <w:pPr>
        <w:spacing w:after="40"/>
      </w:pPr>
    </w:p>
    <w:p>
      <w:pPr>
        <w:pStyle w:val="Heading1"/>
      </w:pPr>
      <w:r>
        <w:t>七 非功能需求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6"/>
        <w:gridCol w:w="4816"/>
      </w:tblGrid>
      <w:tr>
        <w:trPr>
          <w:tblHeader w:val="true"/>
        </w:trPr>
        <w:tc>
          <w:tcPr>
            <w:tcW w:type="dxa" w:w="1701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类别</w:t>
            </w:r>
          </w:p>
        </w:tc>
        <w:tc>
          <w:tcPr>
            <w:tcW w:type="dxa" w:w="7143"/>
            <w:shd w:fill="1F4E7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性能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普通查询 95% 在 2 秒内返回，普通写操作 95% 在 3 秒内完成，常用报表 10 秒内生成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可用性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正式环境月度可用性目标 99.5%，AI Redis或Milvus故障不得阻断核心合同财务业务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安全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HTTPS 强密码哈希 服务端权限校验 参数化查询 私有存储 敏感字段遮挡和最小权限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审计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关键操作记录用户 角色 时间 对象 变更内容 原因 IP 结果及确认信息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兼容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支持最新版及前一主要版本 Chrome和Edge，1366×768可完成全部核心操作</w:t>
            </w:r>
          </w:p>
        </w:tc>
      </w:tr>
      <w:tr>
        <w:tc>
          <w:tcPr>
            <w:tcW w:type="dxa" w:w="170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备份</w:t>
            </w:r>
          </w:p>
        </w:tc>
        <w:tc>
          <w:tcPr>
            <w:tcW w:type="dxa" w:w="714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3F5F7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color w:val="000000"/>
                <w:sz w:val="18"/>
              </w:rPr>
              <w:t>RDS每日备份，RPO不超过24小时，RTO不超过4小时，每季度恢复演练</w:t>
            </w:r>
          </w:p>
        </w:tc>
      </w:tr>
    </w:tbl>
    <w:p>
      <w:pPr>
        <w:spacing w:after="40"/>
      </w:pPr>
    </w:p>
    <w:p>
      <w:pPr>
        <w:pStyle w:val="Heading1"/>
      </w:pPr>
      <w:r>
        <w:t>八 上线与验收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PRD、产品设计方案和原型经客户确认。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Must范围完成并通过核心业务、权限矩阵和自动化测试。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迁移数据经客户核对，备份恢复演练成功。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无阻断级或严重级缺陷，操作手册与管理员手册完成。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客户正式数据进入系统前，FastAPI迁移至阿里云ECS并使用内网资源。</w:t>
      </w:r>
    </w:p>
    <w:p>
      <w:pPr>
        <w:pStyle w:val="Heading1"/>
      </w:pPr>
      <w:r>
        <w:t>九 待补充信息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客户单位正式名称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客户侧业务负责人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阿里云正式环境地域</w:t>
      </w:r>
    </w:p>
    <w:p>
      <w:pPr>
        <w:pStyle w:val="ListBullet"/>
      </w:pPr>
      <w:r>
        <w:rPr>
          <w:rFonts w:ascii="Microsoft YaHei" w:hAnsi="Microsoft YaHei" w:eastAsia="Microsoft YaHei"/>
          <w:color w:val="000000"/>
          <w:sz w:val="21"/>
        </w:rPr>
        <w:t>客户确认的合同样本和历史数据模板</w:t>
      </w:r>
    </w:p>
    <w:sectPr w:rsidR="00FC693F" w:rsidRPr="0006063C" w:rsidSect="00034616">
      <w:footerReference w:type="default" r:id="rId9"/>
      <w:pgSz w:w="12240" w:h="15840"/>
      <w:pgMar w:top="1247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6464"/>
        <w:sz w:val="16"/>
      </w:rPr>
      <w:t>高速公路广告牌经营管理系统  产品需求文档 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