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高速公路广告牌经营管理系统产品设计方案</w:t>
      </w:r>
    </w:p>
    <w:p>
      <w:pPr>
        <w:spacing w:after="440"/>
        <w:jc w:val="center"/>
      </w:pPr>
      <w:r>
        <w:rPr>
          <w:rFonts w:ascii="Microsoft YaHei" w:hAnsi="Microsoft YaHei" w:eastAsia="Microsoft YaHei"/>
          <w:color w:val="000000"/>
          <w:sz w:val="24"/>
        </w:rPr>
        <w:t>定义信息架构 页面结构 核心交互与状态呈现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tblHeader w:val="true"/>
        </w:trPr>
        <w:tc>
          <w:tcPr>
            <w:tcW w:type="dxa" w:w="1814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030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项目名称</w:t>
            </w:r>
          </w:p>
        </w:tc>
        <w:tc>
          <w:tcPr>
            <w:tcW w:type="dxa" w:w="70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高速公路广告牌经营管理系统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项目负责人</w:t>
            </w:r>
          </w:p>
        </w:tc>
        <w:tc>
          <w:tcPr>
            <w:tcW w:type="dxa" w:w="70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林家明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项目团队</w:t>
            </w:r>
          </w:p>
        </w:tc>
        <w:tc>
          <w:tcPr>
            <w:tcW w:type="dxa" w:w="70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林家明（产品、UI）、李嘉伟（后端）、刘俊义（后端）、祝贺（测试）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文档版本</w:t>
            </w:r>
          </w:p>
        </w:tc>
        <w:tc>
          <w:tcPr>
            <w:tcW w:type="dxa" w:w="70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V1.0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文档状态</w:t>
            </w:r>
          </w:p>
        </w:tc>
        <w:tc>
          <w:tcPr>
            <w:tcW w:type="dxa" w:w="70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待客户评审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基准日期</w:t>
            </w:r>
          </w:p>
        </w:tc>
        <w:tc>
          <w:tcPr>
            <w:tcW w:type="dxa" w:w="70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2026 年 9 月 16 日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提交对象</w:t>
            </w:r>
          </w:p>
        </w:tc>
        <w:tc>
          <w:tcPr>
            <w:tcW w:type="dxa" w:w="70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客户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文档说明</w:t>
      </w:r>
    </w:p>
    <w:p>
      <w:r>
        <w:rPr>
          <w:rFonts w:ascii="Microsoft YaHei" w:hAnsi="Microsoft YaHei" w:eastAsia="Microsoft YaHei"/>
          <w:color w:val="000000"/>
          <w:sz w:val="21"/>
        </w:rPr>
        <w:t>本文档以 2026 年 9 月 15 日完成的需求调研为基础，记录已经确认的产品、业务、设计或技术决策。客户单位正式名称、客户侧业务负责人和阿里云地域在发布前补齐。</w:t>
      </w:r>
    </w:p>
    <w:p>
      <w:pPr>
        <w:pStyle w:val="Heading1"/>
      </w:pPr>
      <w:r>
        <w:t>一 设计目标</w:t>
      </w:r>
    </w:p>
    <w:p>
      <w:r>
        <w:rPr>
          <w:rFonts w:ascii="Microsoft YaHei" w:hAnsi="Microsoft YaHei" w:eastAsia="Microsoft YaHei"/>
          <w:color w:val="000000"/>
          <w:sz w:val="21"/>
        </w:rPr>
        <w:t>产品设计以高频后台操作的准确性和可核对性为优先，重点降低合同录入、账款核销和风险追踪的认知负担。界面使用一致的列表、详情、抽屉和确认流程，AI结果与正式业务数据保持清晰区别。</w:t>
      </w:r>
    </w:p>
    <w:p>
      <w:pPr>
        <w:pStyle w:val="Heading1"/>
      </w:pPr>
      <w:r>
        <w:t>二 信息架构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tblHeader w:val="true"/>
        </w:trPr>
        <w:tc>
          <w:tcPr>
            <w:tcW w:type="dxa" w:w="1984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一级导航</w:t>
            </w:r>
          </w:p>
        </w:tc>
        <w:tc>
          <w:tcPr>
            <w:tcW w:type="dxa" w:w="6860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二级页面</w:t>
            </w:r>
          </w:p>
        </w:tc>
      </w:tr>
      <w:t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工作台</w:t>
            </w:r>
          </w:p>
        </w:tc>
        <w:tc>
          <w:tcPr>
            <w:tcW w:type="dxa" w:w="6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待办提醒 风险摘要 核心指标 最近操作</w:t>
            </w:r>
          </w:p>
        </w:tc>
      </w:tr>
      <w:t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资源管理</w:t>
            </w:r>
          </w:p>
        </w:tc>
        <w:tc>
          <w:tcPr>
            <w:tcW w:type="dxa" w:w="6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路段 点位 广告面 合规手续 地图后续扩展</w:t>
            </w:r>
          </w:p>
        </w:tc>
      </w:tr>
      <w:t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客户管理</w:t>
            </w:r>
          </w:p>
        </w:tc>
        <w:tc>
          <w:tcPr>
            <w:tcW w:type="dxa" w:w="6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客户列表 客户详情 黑名单 合作记录</w:t>
            </w:r>
          </w:p>
        </w:tc>
      </w:tr>
      <w:t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合同管理</w:t>
            </w:r>
          </w:p>
        </w:tc>
        <w:tc>
          <w:tcPr>
            <w:tcW w:type="dxa" w:w="6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合同列表 新建合同 待确认 变更续签解除 收费计划</w:t>
            </w:r>
          </w:p>
        </w:tc>
      </w:tr>
      <w:t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财务管理</w:t>
            </w:r>
          </w:p>
        </w:tc>
        <w:tc>
          <w:tcPr>
            <w:tcW w:type="dxa" w:w="6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应收 收款核销 挂账 待认领 退款 应付付款 发票</w:t>
            </w:r>
          </w:p>
        </w:tc>
      </w:tr>
      <w:t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售后管理</w:t>
            </w:r>
          </w:p>
        </w:tc>
        <w:tc>
          <w:tcPr>
            <w:tcW w:type="dxa" w:w="6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售后事项 处理任务 维修记录</w:t>
            </w:r>
          </w:p>
        </w:tc>
      </w:tr>
      <w:t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经营分析</w:t>
            </w:r>
          </w:p>
        </w:tc>
        <w:tc>
          <w:tcPr>
            <w:tcW w:type="dxa" w:w="6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资源经营 合同执行 应收欠款 资金收支 经营收益</w:t>
            </w:r>
          </w:p>
        </w:tc>
      </w:tr>
      <w:t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AI助手</w:t>
            </w:r>
          </w:p>
        </w:tc>
        <w:tc>
          <w:tcPr>
            <w:tcW w:type="dxa" w:w="6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合同智能录入 文档问答 风险摘要 AI任务记录</w:t>
            </w:r>
          </w:p>
        </w:tc>
      </w:tr>
      <w:t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系统管理</w:t>
            </w:r>
          </w:p>
        </w:tc>
        <w:tc>
          <w:tcPr>
            <w:tcW w:type="dxa" w:w="6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用户 角色 权限 运营单位 字典 审计日志</w:t>
            </w:r>
          </w:p>
        </w:tc>
      </w:tr>
    </w:tbl>
    <w:p>
      <w:pPr>
        <w:spacing w:after="40"/>
      </w:pPr>
    </w:p>
    <w:p>
      <w:pPr>
        <w:pStyle w:val="Heading1"/>
      </w:pPr>
      <w:r>
        <w:t>三 页面设计规范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列表页固定包含筛选区、操作区、数据表格、分页和列配置；复杂筛选可展开，不长期占用首屏。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详情页使用摘要、关联信息和时间线组合，正式记录不提供直接覆盖修改入口。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新增和低复杂度编辑使用抽屉，合同、核销和变更等复杂任务使用独立页面。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危险操作使用二次确认，并要求填写原因；退款、调整和作废进入双人确认。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金额、状态、到期日和风险等级在所有页面使用一致的格式和颜色语义。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AI生成字段显示待确认标识、来源片段和置信提示，不与人工确认字段混淆。</w:t>
      </w:r>
    </w:p>
    <w:p>
      <w:pPr>
        <w:pStyle w:val="Heading1"/>
      </w:pPr>
      <w:r>
        <w:t>四 核心页面清单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1984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页面</w:t>
            </w:r>
          </w:p>
        </w:tc>
        <w:tc>
          <w:tcPr>
            <w:tcW w:type="dxa" w:w="4139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主要区域</w:t>
            </w:r>
          </w:p>
        </w:tc>
        <w:tc>
          <w:tcPr>
            <w:tcW w:type="dxa" w:w="2721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关键操作</w:t>
            </w:r>
          </w:p>
        </w:tc>
      </w:tr>
      <w:t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工作台</w:t>
            </w:r>
          </w:p>
        </w:tc>
        <w:tc>
          <w:tcPr>
            <w:tcW w:type="dxa" w:w="41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待办 风险 指标 趋势 最近操作</w:t>
            </w:r>
          </w:p>
        </w:tc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进入待确认合同 逾期账单或合规事项</w:t>
            </w:r>
          </w:p>
        </w:tc>
      </w:tr>
      <w:t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广告面列表</w:t>
            </w:r>
          </w:p>
        </w:tc>
        <w:tc>
          <w:tcPr>
            <w:tcW w:type="dxa" w:w="41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路段 状态 租赁期 合规风险</w:t>
            </w:r>
          </w:p>
        </w:tc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建档 停用 查看租赁历史</w:t>
            </w:r>
          </w:p>
        </w:tc>
      </w:tr>
      <w:t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合同编辑</w:t>
            </w:r>
          </w:p>
        </w:tc>
        <w:tc>
          <w:tcPr>
            <w:tcW w:type="dxa" w:w="41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客户 广告面 租期 收费计划 附件</w:t>
            </w:r>
          </w:p>
        </w:tc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保存草稿 提交确认 AI导入</w:t>
            </w:r>
          </w:p>
        </w:tc>
      </w:tr>
      <w:t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合同详情</w:t>
            </w:r>
          </w:p>
        </w:tc>
        <w:tc>
          <w:tcPr>
            <w:tcW w:type="dxa" w:w="41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摘要 资源 收费 应收 变更 时间线</w:t>
            </w:r>
          </w:p>
        </w:tc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变更 续签 解除 下载附件</w:t>
            </w:r>
          </w:p>
        </w:tc>
      </w:tr>
      <w:t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收款核销</w:t>
            </w:r>
          </w:p>
        </w:tc>
        <w:tc>
          <w:tcPr>
            <w:tcW w:type="dxa" w:w="41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收款信息 未结应收 分配结果</w:t>
            </w:r>
          </w:p>
        </w:tc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自动建议 手工调整 确认核销</w:t>
            </w:r>
          </w:p>
        </w:tc>
      </w:tr>
      <w:t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客户资金详情</w:t>
            </w:r>
          </w:p>
        </w:tc>
        <w:tc>
          <w:tcPr>
            <w:tcW w:type="dxa" w:w="41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应收 收款 核销 挂账 退款 发票</w:t>
            </w:r>
          </w:p>
        </w:tc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下钻来源 导出对账</w:t>
            </w:r>
          </w:p>
        </w:tc>
      </w:tr>
      <w:t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合同智能录入</w:t>
            </w:r>
          </w:p>
        </w:tc>
        <w:tc>
          <w:tcPr>
            <w:tcW w:type="dxa" w:w="41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文件预览 提取字段 来源片段</w:t>
            </w:r>
          </w:p>
        </w:tc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重新识别 修改草稿 确认创建</w:t>
            </w:r>
          </w:p>
        </w:tc>
      </w:tr>
      <w:t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经营报表</w:t>
            </w:r>
          </w:p>
        </w:tc>
        <w:tc>
          <w:tcPr>
            <w:tcW w:type="dxa" w:w="41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筛选 指标 图表 明细</w:t>
            </w:r>
          </w:p>
        </w:tc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下钻 导出 保存筛选</w:t>
            </w:r>
          </w:p>
        </w:tc>
      </w:tr>
    </w:tbl>
    <w:p>
      <w:pPr>
        <w:spacing w:after="40"/>
      </w:pPr>
    </w:p>
    <w:p>
      <w:pPr>
        <w:pStyle w:val="Heading1"/>
      </w:pPr>
      <w:r>
        <w:t>五 核心交互流程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tblHeader w:val="true"/>
        </w:trPr>
        <w:tc>
          <w:tcPr>
            <w:tcW w:type="dxa" w:w="1814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流程</w:t>
            </w:r>
          </w:p>
        </w:tc>
        <w:tc>
          <w:tcPr>
            <w:tcW w:type="dxa" w:w="7030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步骤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合同创建</w:t>
            </w:r>
          </w:p>
        </w:tc>
        <w:tc>
          <w:tcPr>
            <w:tcW w:type="dxa" w:w="70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选择或创建客户 → 选择广告面和租期 → 检查时间冲突 → 配置收费计划 → 上传附件 → 保存草稿 → 提交另一人确认 → 占用租期并生成应收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智能录入</w:t>
            </w:r>
          </w:p>
        </w:tc>
        <w:tc>
          <w:tcPr>
            <w:tcW w:type="dxa" w:w="70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上传合同 → 文本提取或OCR → 模型结构化输出 → 规则校验 → 展示来源与待确认字段 → 用户修正 → 创建合同草稿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收款核销</w:t>
            </w:r>
          </w:p>
        </w:tc>
        <w:tc>
          <w:tcPr>
            <w:tcW w:type="dxa" w:w="70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登记收款 → 识别客户 → 展示未结应收 → 默认优先最早到期 → 财务调整分配 → 校验金额 → 确认核销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未知收款</w:t>
            </w:r>
          </w:p>
        </w:tc>
        <w:tc>
          <w:tcPr>
            <w:tcW w:type="dxa" w:w="70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登记流水 → 无法确认客户 → 进入待认领 → 后续确认客户 → 转客户挂账或直接核销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合同变更</w:t>
            </w:r>
          </w:p>
        </w:tc>
        <w:tc>
          <w:tcPr>
            <w:tcW w:type="dxa" w:w="70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发起变更 → 比较前后内容 → 计算应收影响 → 提交确认 → 生成调整记录 → 更新未来租赁状态</w:t>
            </w:r>
          </w:p>
        </w:tc>
      </w:tr>
    </w:tbl>
    <w:p>
      <w:pPr>
        <w:spacing w:after="40"/>
      </w:pPr>
    </w:p>
    <w:p>
      <w:pPr>
        <w:pStyle w:val="Heading1"/>
      </w:pPr>
      <w:r>
        <w:t>六 状态呈现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1814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对象</w:t>
            </w:r>
          </w:p>
        </w:tc>
        <w:tc>
          <w:tcPr>
            <w:tcW w:type="dxa" w:w="3402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主状态</w:t>
            </w:r>
          </w:p>
        </w:tc>
        <w:tc>
          <w:tcPr>
            <w:tcW w:type="dxa" w:w="3628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界面要求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广告面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空闲 预占 出租中 暂停经营 拆除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状态由系统计算时禁止手工覆盖，并显示形成原因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合同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草稿 待确认 已生效 已到期 已解除 已作废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详情页显示状态时间线及责任人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应收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未到期 待收 部分收款 已结清 逾期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金额与到期日并列，逾期显示账龄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AI任务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排队 处理中 待确认 已完成 失败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允许离开页面后查看，失败提供可理解原因</w:t>
            </w:r>
          </w:p>
        </w:tc>
      </w:tr>
    </w:tbl>
    <w:p>
      <w:pPr>
        <w:spacing w:after="40"/>
      </w:pPr>
    </w:p>
    <w:p>
      <w:pPr>
        <w:pStyle w:val="Heading1"/>
      </w:pPr>
      <w:r>
        <w:t>七 权限与敏感操作体验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无权操作的按钮不显示；通过直接请求访问时服务端仍返回明确的无权限结果。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完整银行账户、批量导出和附件批量下载使用独立权限。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双人确认页面必须显示制单人、差异、附件和操作原因。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审计日志提供对象、操作人、时间、变更字段和请求追踪编号筛选。</w:t>
      </w:r>
    </w:p>
    <w:p>
      <w:pPr>
        <w:pStyle w:val="Heading1"/>
      </w:pPr>
      <w:r>
        <w:t>八 原型交付要求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制作可点击高保真原型，至少覆盖登录、工作台、广告面建档、合同创建确认、收款核销、合同智能录入和经营报表。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原型以 1440×900 为基准并验证 1366×768，使用统一组件和状态样例。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每个核心流程同时包含正常、空数据、校验失败、无权限和依赖故障状态。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原型版本与 PRD 版本绑定，客户确认后再进入对应 Sprint。</w:t>
      </w:r>
    </w:p>
    <w:sectPr w:rsidR="00FC693F" w:rsidRPr="0006063C" w:rsidSect="00034616">
      <w:footerReference w:type="default" r:id="rId9"/>
      <w:pgSz w:w="12240" w:h="15840"/>
      <w:pgMar w:top="1247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46464"/>
        <w:sz w:val="16"/>
      </w:rPr>
      <w:t>高速公路广告牌经营管理系统  产品设计方案 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