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高速公路广告牌经营管理系统业务流程与领域模型设计</w:t>
      </w:r>
    </w:p>
    <w:p>
      <w:pPr>
        <w:spacing w:after="440"/>
        <w:jc w:val="center"/>
      </w:pPr>
      <w:r>
        <w:rPr>
          <w:rFonts w:ascii="Microsoft YaHei" w:hAnsi="Microsoft YaHei" w:eastAsia="Microsoft YaHei"/>
          <w:color w:val="000000"/>
          <w:sz w:val="24"/>
        </w:rPr>
        <w:t>统一业务语言 对象关系 状态和不变量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181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03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项目名称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高速公路广告牌经营管理系统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项目负责人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林家明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项目团队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林家明（产品、UI）、李嘉伟（后端）、刘俊义（后端）、祝贺（测试）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文档版本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文档状态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待客户评审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基准日期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2026 年 9 月 16 日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提交对象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客户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文档说明</w:t>
      </w:r>
    </w:p>
    <w:p>
      <w:r>
        <w:rPr>
          <w:rFonts w:ascii="Microsoft YaHei" w:hAnsi="Microsoft YaHei" w:eastAsia="Microsoft YaHei"/>
          <w:color w:val="000000"/>
          <w:sz w:val="21"/>
        </w:rPr>
        <w:t>本文档以 2026 年 9 月 15 日完成的需求调研为基础，记录已经确认的产品、业务、设计或技术决策。客户单位正式名称、客户侧业务负责人和阿里云地域在发布前补齐。</w:t>
      </w:r>
    </w:p>
    <w:p>
      <w:pPr>
        <w:pStyle w:val="Heading1"/>
      </w:pPr>
      <w:r>
        <w:t>一 领域边界</w:t>
      </w:r>
    </w:p>
    <w:p>
      <w:r>
        <w:rPr>
          <w:rFonts w:ascii="Microsoft YaHei" w:hAnsi="Microsoft YaHei" w:eastAsia="Microsoft YaHei"/>
          <w:color w:val="000000"/>
          <w:sz w:val="21"/>
        </w:rPr>
        <w:t>系统围绕资源、客户、合同、资金、售后、经营分析和身份权限七个业务模块组织。模块通过稳定接口协作，正式业务事实集中保存在 MySQL；Redis和Milvus只提供加速或检索能力。</w:t>
      </w:r>
    </w:p>
    <w:p>
      <w:pPr>
        <w:pStyle w:val="Heading1"/>
      </w:pPr>
      <w:r>
        <w:t>二 核心对象关系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928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515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3402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约束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路段与点位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一个路段包含多个广告牌点位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点位必须属于一个运营单位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点位与广告面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一个点位包含一个或多个广告面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广告面是最小可出租资源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合同与广告面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多对多，通过合同广告面明细关联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同一广告面生效租期不得重叠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合同与收费计划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一个合同包含多期收费计划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每期具有起止日期 金额和到期日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收费计划与应收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合同确认后形成正式应收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应收历史不得覆盖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收款与应收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通过核销明细形成多对多关系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核销总额不得超过两侧可用余额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客户与挂账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已确认客户的未分配收款余额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客户未知时必须进入待认领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合同与发票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发票可关联合同 应收和收款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首期只登记不自动开票</w:t>
            </w:r>
          </w:p>
        </w:tc>
      </w:tr>
    </w:tbl>
    <w:p>
      <w:pPr>
        <w:spacing w:after="40"/>
      </w:pPr>
    </w:p>
    <w:p>
      <w:pPr>
        <w:pStyle w:val="Heading1"/>
      </w:pPr>
      <w:r>
        <w:t>三 核心不变量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1. 同一广告面不能存在时间重叠的两份已确认合同。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2. 合同制单人与确认人不得为同一用户。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3. 合同确认后才占用租赁时段并生成应收。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4. 应收、收款、核销、挂账、退款和调整分别保存。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5. 单次核销不得超过应收未收金额或收款未分配金额。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6. 已核销或已开票的业务记录不得物理删除。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7. 保证金等暂收款不得计入租金收入。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8. AI建议必须经过业务规则校验和用户确认才能形成正式记录。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9. 用户通过AI访问的数据不得超出其原有功能权限和数据范围。</w:t>
      </w:r>
    </w:p>
    <w:p>
      <w:pPr>
        <w:pStyle w:val="Heading1"/>
      </w:pPr>
      <w:r>
        <w:t>四 状态生命周期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81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4082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状态链</w:t>
            </w:r>
          </w:p>
        </w:tc>
        <w:tc>
          <w:tcPr>
            <w:tcW w:type="dxa" w:w="2948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异常出口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合同</w:t>
            </w:r>
          </w:p>
        </w:tc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草稿 → 待确认 → 已生效 → 已到期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待确认可驳回；已生效可解除；错误记录可作废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应收</w:t>
            </w:r>
          </w:p>
        </w:tc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未到期 → 待收款 → 部分收款 → 已结清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到期未结清进入逾期；金额变化产生调整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售后事项</w:t>
            </w:r>
          </w:p>
        </w:tc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待处理 → 处理中 → 待验收 → 已完成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无须处理或重复事项可以关闭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AI任务</w:t>
            </w:r>
          </w:p>
        </w:tc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排队 → 处理中 → 待确认 → 已完成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失败可重试，不能留下半完成正式数据</w:t>
            </w:r>
          </w:p>
        </w:tc>
      </w:tr>
    </w:tbl>
    <w:p>
      <w:pPr>
        <w:spacing w:after="40"/>
      </w:pPr>
    </w:p>
    <w:p>
      <w:pPr>
        <w:pStyle w:val="Heading1"/>
      </w:pPr>
      <w:r>
        <w:t>五 业务流程</w:t>
      </w:r>
    </w:p>
    <w:p>
      <w:pPr>
        <w:pStyle w:val="Heading2"/>
      </w:pPr>
      <w:r>
        <w:t>1 资源到合同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1. 创建路段、点位和广告面档案。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2. 补充产权、用地和合规手续。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3. 客户建档并检查黑名单。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4. 合同选择广告面和租期，系统检查冲突。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5. 配置收费计划并提交确认。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6. 另一名用户确认后占用租期并生成应收。</w:t>
      </w:r>
    </w:p>
    <w:p>
      <w:pPr>
        <w:pStyle w:val="Heading2"/>
      </w:pPr>
      <w:r>
        <w:t>2 收款到核销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1. 登记真实收款流水。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2. 确认付款客户及款项类型。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3. 展示客户未结应收并默认优先最早到期。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4. 财务调整核销分配并提交。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5. 事务内同时更新核销明细和余额。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6. 无法识别客户时进入待认领，客户明确但用途不明时进入挂账。</w:t>
      </w:r>
    </w:p>
    <w:p>
      <w:pPr>
        <w:pStyle w:val="Heading2"/>
      </w:pPr>
      <w:r>
        <w:t>3 合同变更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1. 从已生效合同发起变更单。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2. 记录租期、资源、收费或附件的前后差异。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3. 计算应收、开票和资源占用影响。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4. 另一名有权限用户确认。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5. 生成调整和新历史版本，不覆盖原记录。</w:t>
      </w:r>
    </w:p>
    <w:p>
      <w:pPr>
        <w:pStyle w:val="Heading2"/>
      </w:pPr>
      <w:r>
        <w:t>4 AI合同录入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1. 附件上传至私有OSS。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2. 根据文件类型执行文本提取或OCR。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3. 模型按Pydantic定义输出结构化字段。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4. 系统执行日期、金额、资源和必填规则校验。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5. 用户对照来源片段修正并确认。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6. 仅创建合同草稿，不直接生效。</w:t>
      </w:r>
    </w:p>
    <w:p>
      <w:pPr>
        <w:pStyle w:val="Heading1"/>
      </w:pPr>
      <w:r>
        <w:t>六 术语表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2268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6576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定义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广告牌点位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具有固定位置、产权及合规资料的实体设施。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广告面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点位上能够独立签约出租的最小经营资源。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收费计划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合同约定的分期收费安排。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应收账单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客户在指定到期日前应承担的正式付款义务。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收款流水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运营方实际收到款项的独立资金记录。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核销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把收款金额分配至具体应收的过程。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客户挂账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客户已明确但具体用途尚未明确的收款余额。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待认领收款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付款客户身份仍不明确的收款。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经营收益测算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期间租金应收减已确认经营成本，不等同会计利润。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AI建议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等待用户确认的模型输出，不是正式业务记录。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464"/>
        <w:sz w:val="16"/>
      </w:rPr>
      <w:t>高速公路广告牌经营管理系统  业务流程与领域模型设计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