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高速公路广告牌经营管理系统技术架构设计</w:t>
      </w:r>
    </w:p>
    <w:p>
      <w:pPr>
        <w:spacing w:after="440"/>
        <w:jc w:val="center"/>
      </w:pPr>
      <w:r>
        <w:rPr>
          <w:rFonts w:ascii="Microsoft YaHei" w:hAnsi="Microsoft YaHei" w:eastAsia="Microsoft YaHei"/>
          <w:color w:val="000000"/>
          <w:sz w:val="24"/>
        </w:rPr>
        <w:t>定义技术选型 模块接口 数据安全 部署与演进方案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181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03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项目名称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高速公路广告牌经营管理系统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项目负责人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林家明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项目团队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林家明（产品、UI）、李嘉伟（后端）、刘俊义（后端）、祝贺（测试）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文档版本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文档状态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待客户评审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基准日期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2026 年 9 月 16 日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提交对象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客户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文档说明</w:t>
      </w:r>
    </w:p>
    <w:p>
      <w:r>
        <w:rPr>
          <w:rFonts w:ascii="Microsoft YaHei" w:hAnsi="Microsoft YaHei" w:eastAsia="Microsoft YaHei"/>
          <w:color w:val="000000"/>
          <w:sz w:val="21"/>
        </w:rPr>
        <w:t>本文档以 2026 年 9 月 15 日完成的需求调研为基础，记录已经确认的产品、业务、设计或技术决策。客户单位正式名称、客户侧业务负责人和阿里云地域在发布前补齐。</w:t>
      </w:r>
    </w:p>
    <w:p>
      <w:pPr>
        <w:pStyle w:val="Heading1"/>
      </w:pPr>
      <w:r>
        <w:t>一 架构结论</w:t>
      </w:r>
    </w:p>
    <w:p>
      <w:r>
        <w:rPr>
          <w:rFonts w:ascii="Microsoft YaHei" w:hAnsi="Microsoft YaHei" w:eastAsia="Microsoft YaHei"/>
          <w:color w:val="000000"/>
          <w:sz w:val="21"/>
        </w:rPr>
        <w:t>系统采用 Vue 3 SPA 与 FastAPI 模块化单体的前后端分离架构。个人开发和试用阶段可部署在 Vercel；客户正式使用前迁移至阿里云，前端使用 OSS 与 CDN，FastAPI 和后台任务以 Docker 运行在 ECS，RDS MySQL、Redis、OSS和Milvus使用托管服务。</w:t>
      </w:r>
    </w:p>
    <w:p>
      <w:pPr>
        <w:pStyle w:val="Heading1"/>
      </w:pPr>
      <w:r>
        <w:t>二 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209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6746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技术选型</w:t>
            </w:r>
          </w:p>
        </w:tc>
      </w:tr>
      <w:tr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前端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Vue 3 Vite TypeScript Vue Router Pinia Element Plus Axios TanStack Query Zod</w:t>
            </w:r>
          </w:p>
        </w:tc>
      </w:tr>
      <w:tr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后端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FastAPI Pydantic v2 SQLAlchemy 2 Alembic asyncmy uv</w:t>
            </w:r>
          </w:p>
        </w:tc>
      </w:tr>
      <w:tr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业务数据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阿里云 RDS MySQL 8.0</w:t>
            </w:r>
          </w:p>
        </w:tc>
      </w:tr>
      <w:tr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缓存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阿里云 Redis</w:t>
            </w:r>
          </w:p>
        </w:tc>
      </w:tr>
      <w:tr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文件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阿里云 OSS 私有 Bucket</w:t>
            </w:r>
          </w:p>
        </w:tc>
      </w:tr>
      <w:tr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AI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兼容 OpenAI 协议的国产大模型 API Key LangChain LangGraph按需</w:t>
            </w:r>
          </w:p>
        </w:tc>
      </w:tr>
      <w:tr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向量检索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本地 Milvus Lite或Docker Milvus 生产Milvus托管版</w:t>
            </w:r>
          </w:p>
        </w:tc>
      </w:tr>
      <w:tr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测试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pytest Vitest Playwright</w:t>
            </w:r>
          </w:p>
        </w:tc>
      </w:tr>
      <w:tr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部署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GitHub Actions Docker Vercel试用 阿里云正式环境</w:t>
            </w:r>
          </w:p>
        </w:tc>
      </w:tr>
      <w:tr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可观测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结构化日志 Prometheus Grafana Langfuse</w:t>
            </w:r>
          </w:p>
        </w:tc>
      </w:tr>
    </w:tbl>
    <w:p>
      <w:pPr>
        <w:spacing w:after="40"/>
      </w:pPr>
    </w:p>
    <w:p>
      <w:pPr>
        <w:pStyle w:val="Heading1"/>
      </w:pPr>
      <w:r>
        <w:t>三 模块设计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81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969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061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主要接口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资源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路段 点位 广告面 合规手续和经营状态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创建档案 查询可用资源 计算经营状态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客户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客户资料 黑名单 开票信息和敏感字段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维护客户 校验签约资格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合同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合同 收费计划 确认 变更 续签 解除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创建草稿 确认合同 执行变更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应收与核销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应收 收款 核销 挂账 待认领 退款 调整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生成应收 登记收款 分配核销 发起退款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应付与发票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支出 付款和发票台账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登记应付付款 发票关联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经营分析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指标计算 报表下钻和导出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查询指标 获取明细 创建导出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AI应用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合同提取 风险摘要 文档检索和成本记录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解析合同 生成摘要 检索文档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身份权限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用户 角色 数据范围 会话和审计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鉴权 授权 记录审计</w:t>
            </w:r>
          </w:p>
        </w:tc>
      </w:tr>
    </w:tbl>
    <w:p>
      <w:pPr>
        <w:spacing w:after="40"/>
      </w:pPr>
    </w:p>
    <w:p>
      <w:pPr>
        <w:pStyle w:val="Heading1"/>
      </w:pPr>
      <w:r>
        <w:t>四 外部依赖接口与适配器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701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243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生产适配器</w:t>
            </w:r>
          </w:p>
        </w:tc>
        <w:tc>
          <w:tcPr>
            <w:tcW w:type="dxa" w:w="226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测试适配器</w:t>
            </w:r>
          </w:p>
        </w:tc>
        <w:tc>
          <w:tcPr>
            <w:tcW w:type="dxa" w:w="243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不变量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对象存储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AlibabaOSSAdapter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LocalStorageAdapter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私有访问和业务权限先于下载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向量存储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MilvusAdapter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LocalMilvusAdapter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删除文档时索引同步失效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模型网关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OpenAICompatibleModelAdapter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FakeModelAdapter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模型输出只能形成建议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缓存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RedisAdapter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InMemoryCacheAdapter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缓存不可成为唯一事实来源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OCR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可配置OCRAdapter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FixtureOCRAdapter</w:t>
            </w:r>
          </w:p>
        </w:tc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保留页码和来源片段</w:t>
            </w:r>
          </w:p>
        </w:tc>
      </w:tr>
    </w:tbl>
    <w:p>
      <w:pPr>
        <w:spacing w:after="40"/>
      </w:pPr>
    </w:p>
    <w:p>
      <w:pPr>
        <w:pStyle w:val="Heading1"/>
      </w:pPr>
      <w:r>
        <w:t>五 数据设计原则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正式合同、应收、收款、核销、退款和调整使用独立表保存，不通过覆盖更新伪造历史。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金额使用 DECIMAL，不在 JavaScript 或 Python 中使用二进制浮点进行账款计算。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核销、退款和合同确认使用数据库事务与必要的行锁，防止并发超额分配。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所有业务表包含稳定主键、创建与更新时间、创建与更新用户以及乐观并发字段。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数据库结构变更只能通过 Alembic迁移，生产迁移采用先兼容后清理策略。</w:t>
      </w:r>
    </w:p>
    <w:p>
      <w:pPr>
        <w:pStyle w:val="Heading1"/>
      </w:pPr>
      <w:r>
        <w:t>六 AI与RAG架构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1. 附件写入OSS并在MySQL创建AI任务。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2. 后台任务执行文本提取或OCR，保存文档页和来源定位。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3. 合同提取直接使用结构化输出和Pydantic校验，不强制经过LangChain。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4. 需要文档问答时执行切分、嵌入并写入Milvus，同时保存文档与向量关联。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5. 检索前执行用户、运营单位和文档权限过滤，回答附带来源。</w:t>
      </w:r>
    </w:p>
    <w:p>
      <w:pPr>
        <w:ind w:left="255" w:hanging="255"/>
      </w:pPr>
      <w:r>
        <w:rPr>
          <w:rFonts w:ascii="Microsoft YaHei" w:hAnsi="Microsoft YaHei" w:eastAsia="Microsoft YaHei"/>
          <w:color w:val="000000"/>
          <w:sz w:val="21"/>
        </w:rPr>
        <w:t>6. 通过Langfuse记录链路、模型、耗时、token和结果评价，不记录不必要的敏感正文。</w:t>
      </w:r>
    </w:p>
    <w:p>
      <w:pPr>
        <w:pStyle w:val="Heading1"/>
      </w:pPr>
      <w:r>
        <w:t>七 安全设计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密码使用Argon2id等可靠算法，访问令牌和会话使用安全Cookie或等价安全机制。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权限在FastAPI服务端校验，前端路由和按钮控制只作为用户体验增强。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RDS Redis和Milvus在正式环境仅通过VPC内网访问，OSS使用私有Bucket。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API Key、数据库密码和云凭据保存在环境变量或密钥管理服务，不进入Git。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AI工具调用继承当前用户权限，系统管理员也不自动获得全部业务数据权限。</w:t>
      </w:r>
    </w:p>
    <w:p>
      <w:pPr>
        <w:pStyle w:val="Heading1"/>
      </w:pPr>
      <w:r>
        <w:t>八 部署与CI CD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701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32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前端</w:t>
            </w:r>
          </w:p>
        </w:tc>
        <w:tc>
          <w:tcPr>
            <w:tcW w:type="dxa" w:w="2551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后端</w:t>
            </w:r>
          </w:p>
        </w:tc>
        <w:tc>
          <w:tcPr>
            <w:tcW w:type="dxa" w:w="226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数据与限制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个人试用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Vercel Vue Vite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Vercel FastAPI Python Function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只使用测试或脱敏数据，保留Dockerfile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正式生产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阿里云OSS与CDN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ECS Docker FastAPI与任务进程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RDS Redis OSS Milvus同地域VPC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color w:val="000000"/>
          <w:sz w:val="21"/>
        </w:rPr>
        <w:t>GitHub Actions执行静态检查、类型检查、单元测试、集成测试、前端构建和镜像构建。功能分支产生预览环境；主分支发布需经过测试门禁。生产数据库迁移作为受控发布步骤执行，不能在每次请求中自动运行。</w:t>
      </w:r>
    </w:p>
    <w:p>
      <w:pPr>
        <w:pStyle w:val="Heading1"/>
      </w:pPr>
      <w:r>
        <w:t>九 可观测与恢复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每个请求生成追踪编号，日志记录模块、业务对象、耗时和结果，但不记录密码、令牌和完整敏感正文。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监控接口错误率、延迟、数据库连接、后台任务失败、AI耗时、token和模型错误。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RDS每日备份并支持时间点恢复，OSS启用版本或防误删，Milvus可从原文和切分记录重建。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AI、Redis或Milvus故障时执行降级，合同和财务核心流程继续运行。</w:t>
      </w:r>
    </w:p>
    <w:p>
      <w:pPr>
        <w:pStyle w:val="Heading1"/>
      </w:pPr>
      <w:r>
        <w:t>十 架构图</w:t>
      </w:r>
    </w:p>
    <w:p>
      <w:r>
        <w:rPr>
          <w:rFonts w:ascii="Microsoft YaHei" w:hAnsi="Microsoft YaHei" w:eastAsia="Microsoft YaHei"/>
          <w:color w:val="000000"/>
          <w:sz w:val="21"/>
        </w:rPr>
        <w:t>随本文档一并交付可交互架构图《系统目标架构图.html》，展示业务请求、合同AI处理、正式事实来源和部署演进。</w:t>
      </w:r>
    </w:p>
    <w:sectPr w:rsidR="00FC693F" w:rsidRPr="0006063C" w:rsidSect="00034616">
      <w:footerReference w:type="default" r:id="rId9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464"/>
        <w:sz w:val="16"/>
      </w:rPr>
      <w:t>高速公路广告牌经营管理系统  技术架构设计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