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高速公路广告牌管理系统</w:t>
        <w:br/>
        <w:t>需求调研报告 V2.0</w:t>
      </w:r>
    </w:p>
    <w:p>
      <w:r>
        <w:t>项目名称：高速公路广告牌管理系统</w:t>
      </w:r>
    </w:p>
    <w:p>
      <w:r>
        <w:t>文档定位：需求调研留档稿；依据甲方原始需求与截至 2026 年 9 月 22 日的访谈和团队审核材料修订。</w:t>
      </w:r>
    </w:p>
    <w:p>
      <w:r>
        <w:t>使用说明：本稿区分原始明确要求、访谈建议及待甲方确认事项。它不代表双方已签署的需求基线，也不构成 TAPD 已获甲方确认或开发排期。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CE9F3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4844"/>
            <w:shd w:fill="DCE9F3"/>
          </w:tcPr>
          <w:p>
            <w:r>
              <w:rPr>
                <w:sz w:val="16"/>
              </w:rPr>
              <w:t>内容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项目负责人／统稿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林家明（产品、UI）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团队成员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林家明；李嘉伟（后端）；刘俊义（前端）；祝贺（测试）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原件调研时间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2026 年 9 月 15 日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本版整理日期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2026 年 9 月 22 日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文档版本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V2.0，独立留档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资料优先级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甲方原始 PDF ＞ 可核验的甲方后续确认 ＞ 本次用户采纳的访谈建议 ＞ 原调研报告及 PRD/SRS/Backlog/TAPD 审核稿。</w:t>
            </w:r>
          </w:p>
        </w:tc>
      </w:tr>
    </w:tbl>
    <w:p>
      <w:r>
        <w:t>状态说明：“已确认”仅指甲方原始 PDF 已明确提出的需求输入，不表示详细字段和验收口径已正式批准；“建议”指访谈中采纳、尚待甲方确认的处理方案；“待确认”指缺少甲方决策或真实样本。50 条需求的负责人均为团队内部拟负责梳理与验收的人，不是 TAPD 指派或开发承诺。</w:t>
      </w:r>
    </w:p>
    <w:p>
      <w:pPr>
        <w:pStyle w:val="Heading1"/>
      </w:pPr>
      <w:r>
        <w:t>二、项目背景与建设目标</w:t>
      </w:r>
    </w:p>
    <w:p>
      <w:pPr>
        <w:pStyle w:val="Heading2"/>
      </w:pPr>
      <w:r>
        <w:t>1. 项目背景</w:t>
      </w:r>
    </w:p>
    <w:p>
      <w:r>
        <w:t>甲方经营公路沿线广告牌，长期以 Excel 和纸质合同管理路段、广告牌、商家、合同及收支。数据分散，账款难核、客户情况难查。甲方希望把业务搬上系统，停止用 Excel 管日常业务数据。此目标已由原始 PDF 明确；具体迁移范围仍待确认。</w:t>
      </w:r>
    </w:p>
    <w:p>
      <w:pPr>
        <w:pStyle w:val="Heading2"/>
      </w:pPr>
      <w:r>
        <w:t>2. 当前业务管理方式</w:t>
      </w:r>
    </w:p>
    <w:p>
      <w:r>
        <w:t>1. Excel 记录资源、客户、合同及资金；纸质合同和附件分散保存。</w:t>
      </w:r>
    </w:p>
    <w:p>
      <w:r>
        <w:t>2. 人工拆分多年合同的年度应收，登记收付款并核对欠款。</w:t>
      </w:r>
    </w:p>
    <w:p>
      <w:r>
        <w:t>3. 依靠人工跟进合规证件、合同期限和经营报表，缺少可追溯的统一记录。</w:t>
      </w:r>
    </w:p>
    <w:p>
      <w:pPr>
        <w:pStyle w:val="Heading2"/>
      </w:pPr>
      <w:r>
        <w:t>3. 建设目标</w:t>
      </w:r>
    </w:p>
    <w:p>
      <w:r>
        <w:t>1. 建立路段、广告牌、客户、合同、财务与合规的统一业务档案。</w:t>
      </w:r>
    </w:p>
    <w:p>
      <w:r>
        <w:t>2. 跑通广告牌建档、客户建档、多广告牌合同、按年按牌应收、收款核销及四张核心报表的演示主线。</w:t>
      </w:r>
    </w:p>
    <w:p>
      <w:r>
        <w:t>3. 使报表数字能追溯到业务记录，并与甲方历史 Excel 样本核对。</w:t>
      </w:r>
    </w:p>
    <w:p>
      <w:r>
        <w:t>4. 为不同岗位提供权限和关键操作审计，降低误删及历史数据被覆盖的风险。</w:t>
      </w:r>
    </w:p>
    <w:p>
      <w:pPr>
        <w:pStyle w:val="Heading1"/>
      </w:pPr>
      <w:r>
        <w:t>三、需求调研范围</w:t>
      </w:r>
    </w:p>
    <w:p>
      <w:r>
        <w:t>本次覆盖基础档案、广告牌资源、客户、合同、应收与收款、应付与付款、发票、四张核心报表、合规提醒、权限与审计，以及上线前历史 Excel 迁移核对。售后、巡检、地图、AI 和经营扩展分析作为候选或后续项，须另经甲方确认后进入实施范围。</w:t>
      </w:r>
    </w:p>
    <w:p>
      <w:r>
        <w:t>首期范围的判定以原始 PDF 的“必须有”和重点验收要求为依据。原始 §3.7 将合同到期和欠费通知列为可选；原始 §4.4 明确要求合规证件临期提醒，两者不可合并为同一个优先级。</w:t>
      </w:r>
    </w:p>
    <w:p>
      <w:pPr>
        <w:pStyle w:val="Heading1"/>
      </w:pPr>
      <w:r>
        <w:t>四、调研对象与用户角色分析</w:t>
      </w:r>
    </w:p>
    <w:p>
      <w:pPr>
        <w:pStyle w:val="Heading2"/>
      </w:pPr>
      <w:r>
        <w:t>1. 用户角色分析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CE9F3"/>
          </w:tcPr>
          <w:p>
            <w:r>
              <w:rPr>
                <w:sz w:val="16"/>
              </w:rPr>
              <w:t>角色</w:t>
            </w:r>
          </w:p>
        </w:tc>
        <w:tc>
          <w:tcPr>
            <w:tcW w:type="dxa" w:w="3230"/>
            <w:shd w:fill="DCE9F3"/>
          </w:tcPr>
          <w:p>
            <w:r>
              <w:rPr>
                <w:sz w:val="16"/>
              </w:rPr>
              <w:t>主要职责</w:t>
            </w:r>
          </w:p>
        </w:tc>
        <w:tc>
          <w:tcPr>
            <w:tcW w:type="dxa" w:w="3230"/>
            <w:shd w:fill="DCE9F3"/>
          </w:tcPr>
          <w:p>
            <w:r>
              <w:rPr>
                <w:sz w:val="16"/>
              </w:rPr>
              <w:t>权限与待确认点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运营／档案员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维护路段、广告牌、合规资料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可编辑范围及资源变更确认人待定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合同人员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维护客户与租赁合同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合同确认、变更和解除角色为建议，待甲方确认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财务人员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登记应收、收付款、核销、发票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财务规则与报表口径需甲方财务负责人审核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领导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查看经营报表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原始要求以只读为主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系统管理员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账号、角色、字典和审计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不默认拥有全部业务数据查看权；数据范围待确认</w:t>
            </w:r>
          </w:p>
        </w:tc>
      </w:tr>
    </w:tbl>
    <w:p>
      <w:r>
        <w:t>甲方最终需求确认人及财务规则审核人的具体姓名、权限尚未指定。团队内部拟负责人见第十章，与甲方业务确认责任分开。</w:t>
      </w:r>
    </w:p>
    <w:p>
      <w:pPr>
        <w:pStyle w:val="Heading1"/>
      </w:pPr>
      <w:r>
        <w:t>五、现状业务流程分析</w:t>
      </w:r>
    </w:p>
    <w:p>
      <w:r>
        <w:t>1. 广告牌、客户和合同分别登记在 Excel 或纸质材料中，跨表关联依赖人工。</w:t>
      </w:r>
    </w:p>
    <w:p>
      <w:r>
        <w:t>2. 合同可能包含多块广告牌及多年租金，年度应收由财务手工计算。</w:t>
      </w:r>
    </w:p>
    <w:p>
      <w:r>
        <w:t>3. 客户付款后人工查找合同和账单，部分缴款及用途不明款项难追踪。</w:t>
      </w:r>
    </w:p>
    <w:p>
      <w:r>
        <w:t>4. 路政费、保险费、维护费及发票信息分别登记，付款记录分散。</w:t>
      </w:r>
    </w:p>
    <w:p>
      <w:r>
        <w:t>5. 领导报表通过多表汇总，口径不一致且难追溯原始单据。</w:t>
      </w:r>
    </w:p>
    <w:p>
      <w:pPr>
        <w:pStyle w:val="Heading1"/>
      </w:pPr>
      <w:r>
        <w:t>六、目标业务流程分析</w:t>
      </w:r>
    </w:p>
    <w:p>
      <w:pPr>
        <w:pStyle w:val="Heading2"/>
      </w:pPr>
      <w:r>
        <w:t>1. 广告牌档案管理流程</w:t>
      </w:r>
    </w:p>
    <w:p>
      <w:r>
        <w:t>档案员录入路段、位置、规格、产权、用地性质、三个桩号、路政／保险／年审资料和照片；系统保存操作人及时间。新建启用、拆除、移位由另一名有权限人员确认并保留历史，是访谈建议，尚待甲方确认。照片至少全貌和可辨位置环境照各一张，缺失可存草稿、启用前补齐，也是建议。</w:t>
      </w:r>
    </w:p>
    <w:p>
      <w:pPr>
        <w:pStyle w:val="Heading2"/>
      </w:pPr>
      <w:r>
        <w:t>2. 合同管理流程</w:t>
      </w:r>
    </w:p>
    <w:p>
      <w:r>
        <w:t>合同人员选择客户，一份合同可关联多块整块广告牌，并为每块牌设置各年度租金；系统校验同一块广告牌的生效合同租期不重叠。草稿、生效、到期、解除为原始状态输入；制单人与确认人分离、驳回及变更／续签／解除留痕是访谈建议。不得把广告面独立签约写成已确认需求。</w:t>
      </w:r>
    </w:p>
    <w:p>
      <w:pPr>
        <w:pStyle w:val="Heading2"/>
      </w:pPr>
      <w:r>
        <w:t>3. 收款与核销流程</w:t>
      </w:r>
    </w:p>
    <w:p>
      <w:r>
        <w:t>系统按“年度 × 广告牌”形成应收，实际到账另记独立收款流水。支持一笔收款核销多条应收及一条应收多次收款。财务逐笔选择应收、系统提示最早到期账单且未经确认不自动核销，是访谈建议。客户已知但用途不明先挂客户账，客户未知进入待认领收款；这两种细分路径仍待甲方确认。</w:t>
      </w:r>
    </w:p>
    <w:p>
      <w:pPr>
        <w:pStyle w:val="Heading2"/>
      </w:pPr>
      <w:r>
        <w:t>4. 应付与付款流程</w:t>
      </w:r>
    </w:p>
    <w:p>
      <w:r>
        <w:t>登记路政费、保险费、维护费等支出及每笔付款流水，保持应付与实付可查、可核对。首期建议人工登记并查询应付／付款；自动生成路政、保险或维修应付留待后续，除非甲方提供稳定可核验的计算依据。</w:t>
      </w:r>
    </w:p>
    <w:p>
      <w:pPr>
        <w:pStyle w:val="Heading2"/>
      </w:pPr>
      <w:r>
        <w:t>5. 发票管理流程</w:t>
      </w:r>
    </w:p>
    <w:p>
      <w:r>
        <w:t>登记发票号码、日期、金额、状态及客户／合同／收款关联，支持查询。自动电子开票不在本期建议范围内；开票与收款的约束关系仍待财务样本确认。</w:t>
      </w:r>
    </w:p>
    <w:p>
      <w:pPr>
        <w:pStyle w:val="Heading2"/>
      </w:pPr>
      <w:r>
        <w:t>6. 售后处理流程</w:t>
      </w:r>
    </w:p>
    <w:p>
      <w:r>
        <w:t>售后问题登记、处理责任人、维修记录及结果沿用原调研报告的业务描述。建议列 Should 候选；甲方原始 PDF 未把售后列为必需，首期是否纳入需甲方另行确认。</w:t>
      </w:r>
    </w:p>
    <w:p>
      <w:pPr>
        <w:pStyle w:val="Heading2"/>
      </w:pPr>
      <w:r>
        <w:t>7. 报表查看流程</w:t>
      </w:r>
    </w:p>
    <w:p>
      <w:r>
        <w:t>领导或授权用户查看广告牌数量表、合同执行情况表、收款情况表、应收款统计与催收清单；按原文要求筛选并导出 Excel。四张报表数字直接从业务记录计算，并与历史 Excel 样本核对。原始 PDF 也提及 Excel/PDF 等导出；PDF 导出的首期验收范围待甲方确定。</w:t>
      </w:r>
    </w:p>
    <w:p>
      <w:pPr>
        <w:pStyle w:val="Heading1"/>
      </w:pPr>
      <w:r>
        <w:t>七、业务痛点分析</w:t>
      </w:r>
    </w:p>
    <w:p>
      <w:r>
        <w:t>1. 资源、合同与资金数据分散，无法可靠查询某客户、合同或广告牌的完整业务链。</w:t>
      </w:r>
    </w:p>
    <w:p>
      <w:r>
        <w:t>2. 应收、实收和核销容易混记，部分付款及挂账缺少清晰台账。</w:t>
      </w:r>
    </w:p>
    <w:p>
      <w:r>
        <w:t>3. 合规证件临期、用地风险、合同到期和欠费依赖人工发现。</w:t>
      </w:r>
    </w:p>
    <w:p>
      <w:r>
        <w:t>4. 报表数据存在手工拼接风险，无法与原始业务记录逐笔核对。</w:t>
      </w:r>
    </w:p>
    <w:p>
      <w:r>
        <w:t>5. 数据修改和撤销缺少责任追踪；已有资金与合同记录不能直接物理删除。</w:t>
      </w:r>
    </w:p>
    <w:p>
      <w:pPr>
        <w:pStyle w:val="Heading1"/>
      </w:pPr>
      <w:r>
        <w:t>八、业务对象分析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CE9F3"/>
          </w:tcPr>
          <w:p>
            <w:r>
              <w:rPr>
                <w:sz w:val="16"/>
              </w:rPr>
              <w:t>业务对象</w:t>
            </w:r>
          </w:p>
        </w:tc>
        <w:tc>
          <w:tcPr>
            <w:tcW w:type="dxa" w:w="3230"/>
            <w:shd w:fill="DCE9F3"/>
          </w:tcPr>
          <w:p>
            <w:r>
              <w:rPr>
                <w:sz w:val="16"/>
              </w:rPr>
              <w:t>关键字段／关系</w:t>
            </w:r>
          </w:p>
        </w:tc>
        <w:tc>
          <w:tcPr>
            <w:tcW w:type="dxa" w:w="3230"/>
            <w:shd w:fill="DCE9F3"/>
          </w:tcPr>
          <w:p>
            <w:r>
              <w:rPr>
                <w:sz w:val="16"/>
              </w:rPr>
              <w:t>边界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路段／地区／运营单位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层级、编号、名称、状态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实际层级样本待提供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广告牌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编号、位置、规格、产权、用地性质、状态、照片、三个桩号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整块广告牌为合同占用单位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合规资料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路政、保险、年审的编号、有效期和附件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临期提醒必需，天数待验证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客户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基本资料、联系人、银行、开票、黑名单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敏感字段权限待定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合同与合同广告牌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合同号、客户、起止日、状态；多牌关系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不允许同牌生效租期重叠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年度价格／应收账单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年度、广告牌、金额、到期日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应收与实收分开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收款流水／核销／挂账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到账日期、金额、客户、合同、款项类型、分配金额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保留原流水，核销可追溯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应付／付款／发票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支出类型、金额、付款凭证；发票号码及关联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自动应付和自动开票非原文必需</w:t>
            </w:r>
          </w:p>
        </w:tc>
      </w:tr>
      <w:tr>
        <w:tc>
          <w:tcPr>
            <w:tcW w:type="dxa" w:w="3230"/>
          </w:tcPr>
          <w:p>
            <w:r>
              <w:rPr>
                <w:sz w:val="16"/>
              </w:rPr>
              <w:t>售后事项／操作日志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问题、处理过程；操作者、时间、变更内容</w:t>
            </w:r>
          </w:p>
        </w:tc>
        <w:tc>
          <w:tcPr>
            <w:tcW w:type="dxa" w:w="3230"/>
          </w:tcPr>
          <w:p>
            <w:r>
              <w:rPr>
                <w:sz w:val="16"/>
              </w:rPr>
              <w:t>售后范围待定，审计为必需</w:t>
            </w:r>
          </w:p>
        </w:tc>
      </w:tr>
    </w:tbl>
    <w:p>
      <w:pPr>
        <w:pStyle w:val="Heading1"/>
      </w:pPr>
      <w:r>
        <w:t>九、初步用户故事</w:t>
      </w:r>
    </w:p>
    <w:p>
      <w:r>
        <w:t>1. 作为档案员，我希望维护整块广告牌及三个桩号和合规资料，以便查询资源状态和风险。</w:t>
      </w:r>
    </w:p>
    <w:p>
      <w:r>
        <w:t>2. 作为合同人员，我希望一份合同绑定多块牌并分别录入各年度价格，以便符合实际签约。</w:t>
      </w:r>
    </w:p>
    <w:p>
      <w:r>
        <w:t>3. 作为财务人员，我希望应收、实收和核销分别留痕，以便处理部分缴款和用途不明款项。</w:t>
      </w:r>
    </w:p>
    <w:p>
      <w:r>
        <w:t>4. 作为领导，我希望查看四张可筛选、可导出且能追溯原始数据的报表，以便核对经营情况。</w:t>
      </w:r>
    </w:p>
    <w:p>
      <w:r>
        <w:t>5. 作为管理员，我希望按角色授权并查询关键操作日志，以便控制访问和追责。</w:t>
      </w:r>
    </w:p>
    <w:p>
      <w:r>
        <w:t>6. 作为测试人员，我希望用真实合同、流水和历史 Excel 样本核对金额与状态，以便形成可验收证据。</w:t>
      </w:r>
    </w:p>
    <w:p>
      <w:pPr>
        <w:pStyle w:val="Heading1"/>
      </w:pPr>
      <w:r>
        <w:t>十、需求优先级</w:t>
      </w:r>
    </w:p>
    <w:p>
      <w:r>
        <w:t>以下 MoSCoW 为本次调研建议的首期边界，不是甲方正式批准。A 类通常对应原始 PDF 明确要求；B 类为访谈采用但待甲方确认的方案；C 类为原文可选或产品扩展。个别条目同时包含原文核心与建议细则，按核心列 Must，并在备注中注明细则待确认。</w:t>
      </w:r>
    </w:p>
    <w:p>
      <w:pPr>
        <w:pStyle w:val="Heading2"/>
      </w:pPr>
      <w:r>
        <w:t>Must have 必须实现</w:t>
      </w:r>
    </w:p>
    <w:p>
      <w:r>
        <w:t>覆盖账号权限、资源和客户、整块广告牌多年度合同、应收／实收分账、收付款流水、发票登记、四张核心报表与 Excel 导出、合规资料和临期提醒、关键操作审计。T-39 中 Excel 为 Must，PDF 导出待确认；T-11 的照片存在为 Must，两张的具体规则为建议。</w:t>
      </w:r>
    </w:p>
    <w:p>
      <w:pPr>
        <w:pStyle w:val="Heading2"/>
      </w:pPr>
      <w:r>
        <w:t>Should have 应该实现</w:t>
      </w:r>
    </w:p>
    <w:p>
      <w:r>
        <w:t>建议覆盖资源变更双人确认、黑名单存量合同处理、合同确认及变更留痕、人工核销顺序、用途不明款处理、历史 Excel 迁移核对和售后处理。这些具体流程或范围仍待甲方确认；不能仅因列入 Should 就成为交付承诺。</w:t>
      </w:r>
    </w:p>
    <w:p>
      <w:pPr>
        <w:pStyle w:val="Heading2"/>
      </w:pPr>
      <w:r>
        <w:t>Could have 可以实现</w:t>
      </w:r>
    </w:p>
    <w:p>
      <w:r>
        <w:t>地图、经营首页、单牌收益分析、合同到期和欠费通知、巡检与移动端、日常批量导入、AI 识别／风险摘要／问答、自动应付生成、退款冲销等为候选；应逐项取得甲方范围及验收口径决定。</w:t>
      </w:r>
    </w:p>
    <w:p>
      <w:pPr>
        <w:pStyle w:val="Heading2"/>
      </w:pPr>
      <w:r>
        <w:t>Won’t have 本期暂不实现</w:t>
      </w:r>
    </w:p>
    <w:p>
      <w:r>
        <w:t>按现有产品方案暂不纳入首期：客户门户、在线支付、外部财务系统对接、自动电子发票、原生手机 App、广告内容审核、完整会计核算；独立广告面签约和未经确认的 AI 自动决策亦不纳入本稿首期范围。最终范围以双方确认基线为准。</w:t>
      </w:r>
    </w:p>
    <w:p>
      <w:pPr>
        <w:pStyle w:val="Heading2"/>
      </w:pPr>
      <w:r>
        <w:t>50 条审核项逐项边界与内部拟负责人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DCE9F3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1615"/>
            <w:shd w:fill="DCE9F3"/>
          </w:tcPr>
          <w:p>
            <w:r>
              <w:rPr>
                <w:sz w:val="16"/>
              </w:rPr>
              <w:t>需求标题</w:t>
            </w:r>
          </w:p>
        </w:tc>
        <w:tc>
          <w:tcPr>
            <w:tcW w:type="dxa" w:w="1615"/>
            <w:shd w:fill="DCE9F3"/>
          </w:tcPr>
          <w:p>
            <w:r>
              <w:rPr>
                <w:sz w:val="16"/>
              </w:rPr>
              <w:t>建议边界</w:t>
            </w:r>
          </w:p>
        </w:tc>
        <w:tc>
          <w:tcPr>
            <w:tcW w:type="dxa" w:w="1615"/>
            <w:shd w:fill="DCE9F3"/>
          </w:tcPr>
          <w:p>
            <w:r>
              <w:rPr>
                <w:sz w:val="16"/>
              </w:rPr>
              <w:t>内部拟负责人</w:t>
            </w:r>
          </w:p>
        </w:tc>
        <w:tc>
          <w:tcPr>
            <w:tcW w:type="dxa" w:w="1615"/>
            <w:shd w:fill="DCE9F3"/>
          </w:tcPr>
          <w:p>
            <w:r>
              <w:rPr>
                <w:sz w:val="16"/>
              </w:rPr>
              <w:t>确认状态</w:t>
            </w:r>
          </w:p>
        </w:tc>
        <w:tc>
          <w:tcPr>
            <w:tcW w:type="dxa" w:w="1615"/>
            <w:shd w:fill="DCE9F3"/>
          </w:tcPr>
          <w:p>
            <w:r>
              <w:rPr>
                <w:sz w:val="16"/>
              </w:rPr>
              <w:t>核对说明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T-01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账号密码登录与会话管理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§五；停用账号、会话过期规则参考 UI-01。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T-02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角色、菜单、按钮与操作权限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§3.6、§五；管理员配置与领导只读。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T-03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业务数据范围与服务端鉴权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调研、访谈及 UI-02/46；逐角色范围待甲方确认。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T-04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关键业务操作审计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§五；记录人员、时间、对象和变更内容。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T-05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路段、地区、运营单位层级档案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§二、§3.1；实际层级样本待提供。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T-06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业务数据字典维护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§3.1；产权、性质、规格、用地性质等不可写死。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T-07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广告牌档案建档、查询、编辑及撤销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§3.1、§五；删除与作废边界待甲方确认。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T-08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广告牌三个桩号分别记录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§4.3；合同、现场、路政批复桩号不得合并。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T-09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路政、保险、年审合规资料台账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§3.1、§4.4；编号、时间、有效期。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T-10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用地性质与经营限制提示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§4.6；阻断或警告的具体条件待确认。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T-11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广告牌照片与业务附件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照片及附件为原文要求；“至少两张”是建议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T-12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广告牌查询、筛选及授权导出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§3.5、§五；与报表筛选口径区分。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T-13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广告牌新建启用、拆除和移位确认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§六1 开放问题；双人确认为访谈建议。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T-14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地图展示广告牌位置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地图未见于原始 PDF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T-15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客户档案、联系人、银行与开票资料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§3.1；敏感字段权限待细化。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T-16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客户合同、应收、实收、欠款与合作记录查询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§3.1、§3.3；金额可追溯来源。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T-17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客户黑名单与新合作限制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§3.1；加入、移出条件待确认。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T-18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黑名单客户存量合同处理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§六2 开放问题；继续履行为访谈建议。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T-19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多广告牌、多年租赁合同建档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§3.2、§4.1；关联单位为整块广告牌。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T-20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每块广告牌各年度价格与收费计划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§4.1–4.2；按“年 × 牌”核对总额。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T-21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同一广告牌生效合同租期冲突校验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§3.2；时间边界待样本核对。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T-22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合同状态与生效确认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状态为原文要求；双人确认和驳回是建议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T-23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合同变更、续签、解除及历史保留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调研 §十二7、访谈第三轮；原合同与应收不覆盖。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T-24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按年度和广告牌生成应收账单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§3.3、§4.2；生成时点待财务确认。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T-25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应收账单与实际收款分账保存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§4.5；分别追溯。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T-26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登记收款流水与款项类型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§3.3–3.4；合同款、履约金、维护金、保证金区分。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T-27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多账单与分次付款核销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§3.3–3.4；一笔对多账单及多笔对一账单。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T-28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客户、合同、广告牌、年度账款查询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§3.3–3.5；应收、已收、未收口径须统一。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T-29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部分付款人工核销与到期顺序提示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§六3 开放问题；人工确认、最早到期提示为访谈建议。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T-30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客户挂账与待认领收款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§六5 倾向挂账；已知/未知客户分流为访谈建议。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退款、冲销与原流水关联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未明确；交付件扩展，待甲方确认。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T-32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应付支出台账与付款流水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支出与付款流水为原文要求；应付细则待财务确认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T-33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自动生成路政、保险或维修应付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未要求；访谈建议放后续。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T-34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发票登记与查询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刘俊义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§二；自动电子开票不是原文要求。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T-35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广告牌数量表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§3.5 第一张；含路段/产权/性质/用地/状态分布及商家筛选。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T-36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合同执行情况表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§3.5 第二张；在租/空置、合同、剩余期和收款进度。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T-37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收款情况表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§3.5 第三张；期间笔数、金额和客户/合同/类型分布。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T-38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应收款统计与催收清单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§3.5 第四张；应收、已收、欠款及欠费年度。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T-39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报表筛选、导出与业务数据核对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Excel 导出为 Must；PDF 导出待确认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T-40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经营收益及单牌利润分析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PDF 未列入四张核心报表；口径和范围待确认。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T-41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经营首页和待办摘要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调研/产品设计扩展；不代替四张核心报表。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T-42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合同到期与欠费提醒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原始 PDF 明列可选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T-43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合规证件临期提醒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原文明确；细则待确认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合规提醒为 Must；30/7/当天为待验证建议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T-44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售后事项与维修处理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调研 §十二12、访谈建议 Should。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T-45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巡检计划、现场记录与缺陷处理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产品扩展；移动端范围另行确认。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T-46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日常客户、合同、广告牌批量导入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李嘉伟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调研 §十二15 待确认；与上线迁移分开。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T-47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历史 Excel 数据迁移及核对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祝贺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访谈建议；待甲方确认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停用 Excel 并核对为目标；迁移年份和明细待样本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T-48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合同识别草稿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未见于原始 PDF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T-49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风险摘要与经营建议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未见于原始 PDF</w:t>
            </w:r>
          </w:p>
        </w:tc>
      </w:tr>
      <w:tr>
        <w:tc>
          <w:tcPr>
            <w:tcW w:type="dxa" w:w="1615"/>
          </w:tcPr>
          <w:p>
            <w:r>
              <w:rPr>
                <w:sz w:val="16"/>
              </w:rPr>
              <w:t>T-50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经营知识检索与问答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Could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林家明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候选；待甲方确认</w:t>
            </w:r>
          </w:p>
        </w:tc>
        <w:tc>
          <w:tcPr>
            <w:tcW w:type="dxa" w:w="1615"/>
          </w:tcPr>
          <w:p>
            <w:r>
              <w:rPr>
                <w:sz w:val="16"/>
              </w:rPr>
              <w:t>AI 未见于原始 PDF</w:t>
            </w:r>
          </w:p>
        </w:tc>
      </w:tr>
    </w:tbl>
    <w:p>
      <w:r>
        <w:t>核对说明：T-01 至 T-50 共 50 条，与审核清单逐项对应；责任分配为林家明 12、李嘉伟 16、刘俊义 15、祝贺 7。刘俊义按用户更正为前端。财务规则、权限及数据一致性由李嘉伟协同核对；祝贺参与全 50 条验收要点检查。祝贺尚未加入 TAPD 项目，不能视为已在 TAPD 指派。</w:t>
      </w:r>
    </w:p>
    <w:p>
      <w:pPr>
        <w:pStyle w:val="Heading1"/>
      </w:pPr>
      <w:r>
        <w:t>十一、关键业务规则</w:t>
      </w:r>
    </w:p>
    <w:p>
      <w:r>
        <w:t>1. 一份合同可关联多块整块广告牌；同牌生效租期不得重叠。时间边界日期口径待甲方样本确认。</w:t>
      </w:r>
    </w:p>
    <w:p>
      <w:r>
        <w:t>2. 每块广告牌可按不同年度设置租金，正式应收按“年度 × 广告牌”形成，不以合同总额一次入账。</w:t>
      </w:r>
    </w:p>
    <w:p>
      <w:r>
        <w:t>3. 应收账单和实际收款流水分开保存；核销保留分配明细，分配金额不得超过应收未收额或可用收款额。</w:t>
      </w:r>
    </w:p>
    <w:p>
      <w:r>
        <w:t>4. 黑名单客户禁止新签和续签；已生效合同继续履行并提示风险、提前解除走单独流程，为访谈建议，待甲方确认。</w:t>
      </w:r>
    </w:p>
    <w:p>
      <w:r>
        <w:t>5. 公路用地、集体土地和自有产权应分别提示经营风险；哪些条件构成签约阻断待甲方确认。</w:t>
      </w:r>
    </w:p>
    <w:p>
      <w:r>
        <w:t>6. 路政、保险、年审分别记录证件编号与有效期并临期提醒；建议 30 天、7 天、到期日三级提示，阈值待真实证件样本验证。</w:t>
      </w:r>
    </w:p>
    <w:p>
      <w:r>
        <w:t>7. 已关联合同、应收或资金的记录应保留历史；对用户提供作废／停用和确认提示。原文“能删”的最终解释仍待甲方确认。</w:t>
      </w:r>
    </w:p>
    <w:p>
      <w:r>
        <w:t>8. 不覆盖已生效合同和资金历史；变更及金额调整保留独立记录和审计，是内部设计建议，具体适用场景待甲方确认。</w:t>
      </w:r>
    </w:p>
    <w:p>
      <w:pPr>
        <w:pStyle w:val="Heading1"/>
      </w:pPr>
      <w:r>
        <w:t>十二、待确认问题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CE9F3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2422"/>
            <w:shd w:fill="DCE9F3"/>
          </w:tcPr>
          <w:p>
            <w:r>
              <w:rPr>
                <w:sz w:val="16"/>
              </w:rPr>
              <w:t>待确认事项</w:t>
            </w:r>
          </w:p>
        </w:tc>
        <w:tc>
          <w:tcPr>
            <w:tcW w:type="dxa" w:w="2422"/>
            <w:shd w:fill="DCE9F3"/>
          </w:tcPr>
          <w:p>
            <w:r>
              <w:rPr>
                <w:sz w:val="16"/>
              </w:rPr>
              <w:t>当前建议／所需证据</w:t>
            </w:r>
          </w:p>
        </w:tc>
        <w:tc>
          <w:tcPr>
            <w:tcW w:type="dxa" w:w="2422"/>
            <w:shd w:fill="DCE9F3"/>
          </w:tcPr>
          <w:p>
            <w:r>
              <w:rPr>
                <w:sz w:val="16"/>
              </w:rPr>
              <w:t>确认责任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甲方最终需求确认人及财务审核人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指定姓名、权限及确认方式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广告牌新建、拆除、移位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双人确认及保留历史；确认触发条件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甲方运营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黑名单存量合同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继续履行并阻止新签／续签的建议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甲方合同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部分付款核销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人工选择，系统提示最早到期；确认撤销与跨合同规则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照片最低数量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两张及草稿保存建议；提供真实照片样本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甲方运营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用途不明收款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已知客户挂账、未知客户待认领的分流建议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合同确认／变更／解除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双人确认、驳回与独立历史记录建议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甲方合同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应付自动生成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首期人工登记，自动生成后续评估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售后维修应付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维修验收后财务登记建议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提醒天数与通知渠道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合规 30／7／当天仅待验证默认值；合同提醒为可选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甲方运营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滞纳金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首期不自动计算；如有合同约定需提供样本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售后与巡检优先级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售后建议 Should，巡检／移动端为候选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甲方业务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附件格式与大小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图片 JPG/PNG ≤10 MB、PDF ≤20 MB 仅建议，需样本验证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甲方业务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历史 Excel 迁移范围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有效资源、客户、合同、未结应收及可核对的已收／欠款；年份待定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上线后日常批量导入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与上线迁移分开决定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甲方业务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四张报表及导出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提供历史 Excel、报表样本；明确 PDF 导出验收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甲方领导／财务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实际组织层级与数据权限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提供路段／地区／运营单位及岗位样本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甲方管理员</w:t>
            </w:r>
          </w:p>
        </w:tc>
      </w:tr>
      <w:tr>
        <w:tc>
          <w:tcPr>
            <w:tcW w:type="dxa" w:w="242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TAPD 与需求基线关系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审核稿仅为入库草案，不能代替甲方确认</w:t>
            </w:r>
          </w:p>
        </w:tc>
        <w:tc>
          <w:tcPr>
            <w:tcW w:type="dxa" w:w="2422"/>
          </w:tcPr>
          <w:p>
            <w:r>
              <w:rPr>
                <w:sz w:val="16"/>
              </w:rPr>
              <w:t>项目负责人</w:t>
            </w:r>
          </w:p>
        </w:tc>
      </w:tr>
    </w:tbl>
    <w:p>
      <w:r>
        <w:t>以上事项须保留问题、甲方答复、确认人、日期和证据链接，再更新正式需求基线。对没有真实业务样本的天数、金额、格式和迁移年份，不以本稿建议值作为已批准验收阈值。</w:t>
      </w:r>
    </w:p>
    <w:p>
      <w:pPr>
        <w:pStyle w:val="Heading1"/>
      </w:pPr>
      <w:r>
        <w:t>十三、调研结论</w:t>
      </w:r>
    </w:p>
    <w:p>
      <w:r>
        <w:t>系统的首期业务主线为“资源建档—客户建档—多广告牌合同—按年按牌应收—收款与核销—四张核心报表”，并包含原始 PDF 明确提出的合规资料、支出流水、发票、权限和审计。四张报表及 Excel 导出必须从真实业务记录计算并对账。</w:t>
      </w:r>
    </w:p>
    <w:p>
      <w:r>
        <w:t>本版已把原报告的流程和业务对象，与甲方原始 PDF、三轮访谈记录及 50 条 TAPD 入库审核稿核对；TAPD 条目及内部责任分配只是团队审核材料。所有具体建议、开放问题和候选扩展须由甲方进一步确认后，方可形成开发与验收基线。</w:t>
      </w:r>
    </w:p>
    <w:p>
      <w:r>
        <w:t>主要依据：①《需求规格说明书_公路广告牌管理系统(2).pdf》（甲方原始输入）；②《计算机专升本6班+魔幻陀螺组.docx》（原章节与表达参考）；③《需求访谈决策记录》V0.2；④《功能需求清单》FR-001—FR-057；⑤《TAPD功能需求入库审核清单》T-01—T-50；⑥《TAPD功能需求责任分配预览》V0.1。</w:t>
      </w:r>
    </w:p>
    <w:sectPr w:rsidR="00FC693F" w:rsidRPr="0006063C" w:rsidSect="00034616">
      <w:footerReference w:type="default" r:id="rId9"/>
      <w:pgSz w:w="12240" w:h="15840"/>
      <w:pgMar w:top="1247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需求调研报告 V2.0 · 内部留档／待甲方确认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