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经营统计报表——合同执行情况报表</w:t>
      </w:r>
    </w:p>
    <w:p>
      <w:r>
        <w:t>所属项目：高速公路广告牌管理系统</w:t>
      </w:r>
    </w:p>
    <w:p>
      <w:r>
        <w:t>需求编号：02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作为部门领导，</w:t>
      </w:r>
    </w:p>
    <w:p>
      <w:r>
        <w:t>我希望统计各合同的租期、关联广告牌、执行进度与收款/欠款情况，</w:t>
      </w:r>
    </w:p>
    <w:p>
      <w:r>
        <w:t>以便掌握合同整体执行状况与风险。</w:t>
      </w:r>
    </w:p>
    <w:p>
      <w:pPr>
        <w:pStyle w:val="21"/>
      </w:pPr>
      <w:r>
        <w:t>2. 业务背景（Why）</w:t>
      </w:r>
    </w:p>
    <w:p>
      <w:r>
        <w:t>合同数量多、租期不一，领导需要一张报表纵览合同是否正常履行、关联哪些广告牌、应收与回款进度如何，及时发现到期或异常合同。</w:t>
      </w:r>
    </w:p>
    <w:p>
      <w:pPr>
        <w:pStyle w:val="21"/>
      </w:pPr>
      <w:r>
        <w:t>3. 用户角色（Who）</w:t>
      </w:r>
    </w:p>
    <w:p>
      <w:r>
        <w:t>主要角色：部门领导（只读查看报表）</w:t>
      </w:r>
    </w:p>
    <w:p>
      <w:r>
        <w:t>其他角色：合同管理员（维护合同数据）、财务管理员（只读查看回款部分）</w:t>
      </w:r>
    </w:p>
    <w:p>
      <w:pPr>
        <w:pStyle w:val="21"/>
      </w:pPr>
      <w:r>
        <w:t>4. 功能需求（What）</w:t>
      </w:r>
    </w:p>
    <w:p>
      <w:r>
        <w:t>• 按合同统计编号、客户、租期、关联广告牌数量</w:t>
      </w:r>
    </w:p>
    <w:p>
      <w:r>
        <w:t>• 展示合同状态与执行进度</w:t>
      </w:r>
    </w:p>
    <w:p>
      <w:r>
        <w:t>• 汇总合同对应应收、已收、欠款金额</w:t>
      </w:r>
    </w:p>
    <w:p>
      <w:r>
        <w:t>• 支持按客户、状态、时间筛选</w:t>
      </w:r>
    </w:p>
    <w:p>
      <w:pPr>
        <w:pStyle w:val="21"/>
      </w:pPr>
      <w:r>
        <w:t>5. 数据需求业务对象（Data）</w:t>
      </w:r>
    </w:p>
    <w:p>
      <w:r>
        <w:t>• 合同档案（客户、租期、状态、关联广告牌）</w:t>
      </w:r>
    </w:p>
    <w:p>
      <w:r>
        <w:t>• 应收账单与收款核销数据</w:t>
      </w:r>
    </w:p>
    <w:p>
      <w:pPr>
        <w:pStyle w:val="21"/>
      </w:pPr>
      <w:r>
        <w:t>6. 业务规则（Rule）</w:t>
      </w:r>
    </w:p>
    <w:p>
      <w:r>
        <w:t>• 合同执行数据来源于合同档案与收款核销结果</w:t>
      </w:r>
    </w:p>
    <w:p>
      <w:r>
        <w:t>• 部门领导只读查看，不可修改合同</w:t>
      </w:r>
    </w:p>
    <w:p>
      <w:r>
        <w:t>• 报表应收/已收/欠款口径与财务管理模块一致</w:t>
      </w:r>
    </w:p>
    <w:p>
      <w:r>
        <w:t>• 需求依据：甲方《公路广告牌管理系统需求说明》§7 经营统计报表（合同执行报表）；TAPD需求梳理定稿 P6-02。</w:t>
      </w:r>
    </w:p>
    <w:p>
      <w:pPr>
        <w:pStyle w:val="21"/>
      </w:pPr>
      <w:r>
        <w:t>7. 验收标准</w:t>
      </w:r>
    </w:p>
    <w:p>
      <w:r>
        <w:t>• 可按合同查看租期、关联广告牌与执行状态</w:t>
      </w:r>
    </w:p>
    <w:p>
      <w:r>
        <w:t>• 报表展示对应应收/已收/欠款且与财务口径一致</w:t>
      </w:r>
    </w:p>
    <w:p>
      <w:r>
        <w:t>• 部门领导只读查看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