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财务管理——登记客户交款</w:t>
      </w:r>
    </w:p>
    <w:p>
      <w:r>
        <w:t>所属项目：高速公路广告牌管理系统</w:t>
      </w:r>
    </w:p>
    <w:p>
      <w:r>
        <w:t>需求编号：03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我希望登记客户实际交款的日期、金额、款项类型和付款凭证，</w:t>
      </w:r>
    </w:p>
    <w:p>
      <w:r>
        <w:t>以便形成独立的收款流水并据以核销应收。</w:t>
      </w:r>
    </w:p>
    <w:p>
      <w:pPr>
        <w:pStyle w:val="21"/>
      </w:pPr>
      <w:r>
        <w:t>2. 业务背景（Why）</w:t>
      </w:r>
    </w:p>
    <w:p>
      <w:r>
        <w:t>客户通过银行转账等方式付款后，财务需要逐笔登记收款，并区分款项类型（合同款、履约金、维护金、保证金等），再与应收账单核销。收款流水必须与应收账单分开保存，保证资金可追溯。</w:t>
      </w:r>
    </w:p>
    <w:p>
      <w:pPr>
        <w:pStyle w:val="21"/>
      </w:pPr>
      <w:r>
        <w:t>3. 用户角色（Who）</w:t>
      </w:r>
    </w:p>
    <w:p>
      <w:r>
        <w:t>主要角色：财务管理员（登记收款流水）</w:t>
      </w:r>
    </w:p>
    <w:p>
      <w:r>
        <w:t>其他角色：部门领导（查看收款记录）</w:t>
      </w:r>
    </w:p>
    <w:p>
      <w:pPr>
        <w:pStyle w:val="21"/>
      </w:pPr>
      <w:r>
        <w:t>4. 功能需求（What）</w:t>
      </w:r>
    </w:p>
    <w:p>
      <w:r>
        <w:t>• 登记收款流水：客户、收款日期、收款金额、款项类型、付款方式</w:t>
      </w:r>
    </w:p>
    <w:p>
      <w:r>
        <w:t>• 上传付款凭证（回单等附件）</w:t>
      </w:r>
    </w:p>
    <w:p>
      <w:r>
        <w:t>• 记录已核销金额与未核销金额</w:t>
      </w:r>
    </w:p>
    <w:p>
      <w:r>
        <w:t>• 收款流水独立保存，不直接覆盖应收账单</w:t>
      </w:r>
    </w:p>
    <w:p>
      <w:pPr>
        <w:pStyle w:val="21"/>
      </w:pPr>
      <w:r>
        <w:t>5. 数据需求业务对象（Data）</w:t>
      </w:r>
    </w:p>
    <w:p>
      <w:r>
        <w:t>• 收款流水（流水编号、客户、收款日期、收款金额、款项类型、付款方式、付款凭证、已核销金额、未核销金额）</w:t>
      </w:r>
    </w:p>
    <w:p>
      <w:r>
        <w:t>• 付款凭证附件</w:t>
      </w:r>
    </w:p>
    <w:p>
      <w:pPr>
        <w:pStyle w:val="21"/>
      </w:pPr>
      <w:r>
        <w:t>6. 业务规则（Rule）</w:t>
      </w:r>
    </w:p>
    <w:p>
      <w:r>
        <w:t>• 合同款、履约金、维护金、保证金须区分款项类型登记</w:t>
      </w:r>
    </w:p>
    <w:p>
      <w:r>
        <w:t>• 登记收款后可核销对应应收，未核销部分保留为未核销金额</w:t>
      </w:r>
    </w:p>
    <w:p>
      <w:r>
        <w:t>• 收款流水与应收账单分开保存，任一方修改不破坏另一方原始记录</w:t>
      </w:r>
    </w:p>
    <w:p>
      <w:r>
        <w:t>• 需求依据：甲方《公路广告牌管理系统需求说明》§6 财务管理（登记收款流水及款项类型）；TAPD需求梳理定稿 P5-03。</w:t>
      </w:r>
    </w:p>
    <w:p>
      <w:pPr>
        <w:pStyle w:val="21"/>
      </w:pPr>
      <w:r>
        <w:t>7. 验收标准</w:t>
      </w:r>
    </w:p>
    <w:p>
      <w:r>
        <w:t>• 可登记客户、日期、金额、款项类型、付款方式并上传凭证</w:t>
      </w:r>
    </w:p>
    <w:p>
      <w:r>
        <w:t>• 每笔流水独立保存，含已核销/未核销金额</w:t>
      </w:r>
    </w:p>
    <w:p>
      <w:r>
        <w:t>• 款项类型不得为空或混用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