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客户管理——查客户的合同和钱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我希望从客户档案直接查看其名下所有合同、应收、实收和合作记录，</w:t>
      </w:r>
    </w:p>
    <w:p>
      <w:r>
        <w:t>以便全面了解客户合作与账款全貌。</w:t>
      </w:r>
    </w:p>
    <w:p>
      <w:pPr>
        <w:pStyle w:val="21"/>
      </w:pPr>
      <w:r>
        <w:t>2. 业务背景（Why）</w:t>
      </w:r>
    </w:p>
    <w:p>
      <w:r>
        <w:t>客户可能签订多份合同，涉及多块广告牌和多个计费年度。合同管理员需要从客户视角一站式查看其合同清单、账单、收款和合作记录，避免在合同和财务模块间反复切换。</w:t>
      </w:r>
    </w:p>
    <w:p>
      <w:pPr>
        <w:pStyle w:val="21"/>
      </w:pPr>
      <w:r>
        <w:t>3. 用户角色（Who）</w:t>
      </w:r>
    </w:p>
    <w:p>
      <w:r>
        <w:t>主要角色：合同管理员；负责从客户维度查询合同与账款。</w:t>
      </w:r>
    </w:p>
    <w:p>
      <w:r>
        <w:t>其他角色：财务管理员（核对客户收款）、部门领导（查看客户合作全貌）。</w:t>
      </w:r>
    </w:p>
    <w:p>
      <w:pPr>
        <w:pStyle w:val="21"/>
      </w:pPr>
      <w:r>
        <w:t>4. 功能需求（What）</w:t>
      </w:r>
    </w:p>
    <w:p>
      <w:r>
        <w:t>• 客户合同清单：在客户详情列出该客户所有合同编号、关联广告牌、租期、合同状态。</w:t>
      </w:r>
    </w:p>
    <w:p>
      <w:r>
        <w:t>• 应收实收汇总：展示该客户名下所有合同的应收账单和收款流水汇总。</w:t>
      </w:r>
    </w:p>
    <w:p>
      <w:r>
        <w:t>• 合作记录：按时间线展示客户的签约、收款、到期等合作记录。</w:t>
      </w:r>
    </w:p>
    <w:p>
      <w:r>
        <w:t>• 单据跳转：从客户视图可跳转查看具体合同、账单和收款流水详情。</w:t>
      </w:r>
    </w:p>
    <w:p>
      <w:pPr>
        <w:pStyle w:val="21"/>
      </w:pPr>
      <w:r>
        <w:t>5. 数据需求业务对象（Data）</w:t>
      </w:r>
    </w:p>
    <w:p>
      <w:r>
        <w:t>• 客户关联合同：客户编号、合同编号、广告牌、开始日期、结束日期、合同状态。</w:t>
      </w:r>
    </w:p>
    <w:p>
      <w:r>
        <w:t>• 客户账款汇总：客户编号、合同编号、年度应收、已收款、未收款。</w:t>
      </w:r>
    </w:p>
    <w:p>
      <w:r>
        <w:t>• 合作记录：记录类型、关联单据、发生时间、发生金额。</w:t>
      </w:r>
    </w:p>
    <w:p>
      <w:pPr>
        <w:pStyle w:val="21"/>
      </w:pPr>
      <w:r>
        <w:t>6. 业务规则（Rule）</w:t>
      </w:r>
    </w:p>
    <w:p>
      <w:r>
        <w:t>• 客户视图仅展示当前登录人数据权限范围内的客户及其关联单据。</w:t>
      </w:r>
    </w:p>
    <w:p>
      <w:r>
        <w:t>• 客户视图汇总金额与合同、账单、收款流水明细合计一致。</w:t>
      </w:r>
    </w:p>
    <w:p>
      <w:r>
        <w:t>• 客户视图数据随合同和收款操作实时更新。</w:t>
      </w:r>
    </w:p>
    <w:p>
      <w:r>
        <w:t>• 汇总数字可下钻到来源单据。</w:t>
      </w:r>
    </w:p>
    <w:p>
      <w:r>
        <w:t>• 需求依据：甲方《公路广告牌管理系统需求说明》§3.1 客户合作记录；TAPD需求梳理定稿 P3-05。</w:t>
      </w:r>
    </w:p>
    <w:p>
      <w:pPr>
        <w:pStyle w:val="21"/>
      </w:pPr>
      <w:r>
        <w:t>7. 验收标准</w:t>
      </w:r>
    </w:p>
    <w:p>
      <w:r>
        <w:t>• 客户详情可查看该客户所有合同清单及合同状态。</w:t>
      </w:r>
    </w:p>
    <w:p>
      <w:r>
        <w:t>• 可查看该客户名下应收、实收、欠款汇总。</w:t>
      </w:r>
    </w:p>
    <w:p>
      <w:r>
        <w:t>• 可按时间线查看客户合作记录。</w:t>
      </w:r>
    </w:p>
    <w:p>
      <w:r>
        <w:t>• 点击汇总数字可跳转到对应合同或账单明细。</w:t>
      </w:r>
    </w:p>
    <w:p>
      <w:r>
        <w:t>• 客户视图汇总金额与明细合计一致。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