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经营统计报表——经营收益统计</w:t>
      </w:r>
    </w:p>
    <w:p>
      <w:r>
        <w:t>所属项目：高速公路广告牌管理系统</w:t>
      </w:r>
    </w:p>
    <w:p>
      <w:r>
        <w:t>需求编号：05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作为部门领导，</w:t>
      </w:r>
    </w:p>
    <w:p>
      <w:r>
        <w:t>我希望按期间统计经营收入、支出及净收益，并按路段/客户等维度拆分，</w:t>
      </w:r>
    </w:p>
    <w:p>
      <w:r>
        <w:t>以便整体评估经营效益。</w:t>
      </w:r>
    </w:p>
    <w:p>
      <w:pPr>
        <w:pStyle w:val="21"/>
      </w:pPr>
      <w:r>
        <w:t>2. 业务背景（Why）</w:t>
      </w:r>
    </w:p>
    <w:p>
      <w:r>
        <w:t>在收款报表与支出台账基础上，领导需要一张综合收益视图：收入（回款）减去对外支出（路政费、保险费、维护费等）后的净收益，用于经营决策。</w:t>
      </w:r>
    </w:p>
    <w:p>
      <w:pPr>
        <w:pStyle w:val="21"/>
      </w:pPr>
      <w:r>
        <w:t>3. 用户角色（Who）</w:t>
      </w:r>
    </w:p>
    <w:p>
      <w:r>
        <w:t>主要角色：部门领导（只读查看报表）</w:t>
      </w:r>
    </w:p>
    <w:p>
      <w:r>
        <w:t>其他角色：财务管理员（提供收支数据、只读查看）</w:t>
      </w:r>
    </w:p>
    <w:p>
      <w:pPr>
        <w:pStyle w:val="21"/>
      </w:pPr>
      <w:r>
        <w:t>4. 功能需求（What）</w:t>
      </w:r>
    </w:p>
    <w:p>
      <w:r>
        <w:t>• 按统计期间汇总经营收入（收款）与经营支出（付款）</w:t>
      </w:r>
    </w:p>
    <w:p>
      <w:r>
        <w:t>• 自动计算本期净收益＝收入－支出</w:t>
      </w:r>
    </w:p>
    <w:p>
      <w:r>
        <w:t>• 按路段、客户或费用类型拆分收入与支出构成</w:t>
      </w:r>
    </w:p>
    <w:p>
      <w:r>
        <w:t>• 支持多期间对比</w:t>
      </w:r>
    </w:p>
    <w:p>
      <w:pPr>
        <w:pStyle w:val="21"/>
      </w:pPr>
      <w:r>
        <w:t>5. 数据需求业务对象（Data）</w:t>
      </w:r>
    </w:p>
    <w:p>
      <w:r>
        <w:t>• 收款流水（收入来源）</w:t>
      </w:r>
    </w:p>
    <w:p>
      <w:r>
        <w:t>• 应付账单与付款流水（支出来源）</w:t>
      </w:r>
    </w:p>
    <w:p>
      <w:pPr>
        <w:pStyle w:val="21"/>
      </w:pPr>
      <w:r>
        <w:t>6. 业务规则（Rule）</w:t>
      </w:r>
    </w:p>
    <w:p>
      <w:r>
        <w:t>• 收入取实际收款流水，支出取实际付款流水，口径与财务模块一致</w:t>
      </w:r>
    </w:p>
    <w:p>
      <w:r>
        <w:t>• 净收益＝本期收入－本期支出</w:t>
      </w:r>
    </w:p>
    <w:p>
      <w:r>
        <w:t>• 部门领导只读查看，报表不产生可编辑数据</w:t>
      </w:r>
    </w:p>
    <w:p>
      <w:r>
        <w:t>• 需求依据：甲方《公路广告牌管理系统需求说明》§7 经营统计报表（经营收益统计）；TAPD需求梳理定稿 P6-05。</w:t>
      </w:r>
    </w:p>
    <w:p>
      <w:pPr>
        <w:pStyle w:val="21"/>
      </w:pPr>
      <w:r>
        <w:t>7. 验收标准</w:t>
      </w:r>
    </w:p>
    <w:p>
      <w:r>
        <w:t>• 可按期间统计收入、支出并自动计算净收益</w:t>
      </w:r>
    </w:p>
    <w:p>
      <w:r>
        <w:t>• 收支数据与财务模块一致</w:t>
      </w:r>
    </w:p>
    <w:p>
      <w:r>
        <w:t>• 部门领导只读查看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