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财务管理——分不清哪笔合同的钱先挂账</w:t>
      </w:r>
    </w:p>
    <w:p>
      <w:r>
        <w:t>所属项目：高速公路广告牌管理系统</w:t>
      </w:r>
    </w:p>
    <w:p>
      <w:r>
        <w:t>需求编号：06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作为财务管理员，</w:t>
      </w:r>
    </w:p>
    <w:p>
      <w:r>
        <w:t>我希望客户已付款但一时无法确认对应哪份合同时，先把钱记入客户挂账余额，待确认用途后再分配到具体应收，</w:t>
      </w:r>
    </w:p>
    <w:p>
      <w:r>
        <w:t>以便不耽误收款登记、又保证后续对账准确。</w:t>
      </w:r>
    </w:p>
    <w:p>
      <w:pPr>
        <w:pStyle w:val="21"/>
      </w:pPr>
      <w:r>
        <w:t>2. 业务背景（Why）</w:t>
      </w:r>
    </w:p>
    <w:p>
      <w:r>
        <w:t>实际到账可能未注明合同或账单，财务无法立即核销。若直接挂客户名下却不指定用途，会造成应收与实收对不上。需要先记入客户挂账余额，确认合同用途后再分配核销。</w:t>
      </w:r>
    </w:p>
    <w:p>
      <w:pPr>
        <w:pStyle w:val="21"/>
      </w:pPr>
      <w:r>
        <w:t>3. 用户角色（Who）</w:t>
      </w:r>
    </w:p>
    <w:p>
      <w:r>
        <w:t>主要角色：财务管理员（挂账登记与后续分配）</w:t>
      </w:r>
    </w:p>
    <w:p>
      <w:r>
        <w:t>其他角色：部门领导（查看挂账余额）、合同管理员（协助确认合同归属）</w:t>
      </w:r>
    </w:p>
    <w:p>
      <w:pPr>
        <w:pStyle w:val="21"/>
      </w:pPr>
      <w:r>
        <w:t>4. 功能需求（What）</w:t>
      </w:r>
    </w:p>
    <w:p>
      <w:r>
        <w:t>• 无法确认对应合同/账单的收款，先登记为客户挂账</w:t>
      </w:r>
    </w:p>
    <w:p>
      <w:r>
        <w:t>• 记录挂账来源收款、挂账金额、已分配金额、剩余金额与挂账日期</w:t>
      </w:r>
    </w:p>
    <w:p>
      <w:r>
        <w:t>• 确认用途后，从挂账余额分配至具体应收账单进行核销</w:t>
      </w:r>
    </w:p>
    <w:p>
      <w:r>
        <w:t>• 挂账状态随分配进度更新，分配完毕自动结清</w:t>
      </w:r>
    </w:p>
    <w:p>
      <w:pPr>
        <w:pStyle w:val="21"/>
      </w:pPr>
      <w:r>
        <w:t>5. 数据需求业务对象（Data）</w:t>
      </w:r>
    </w:p>
    <w:p>
      <w:r>
        <w:t>• 客户挂账记录（客户、来源收款、挂账金额、已分配金额、剩余金额、挂账日期、状态）</w:t>
      </w:r>
    </w:p>
    <w:p>
      <w:r>
        <w:t>• 应收账单（接收分配核销）</w:t>
      </w:r>
    </w:p>
    <w:p>
      <w:pPr>
        <w:pStyle w:val="21"/>
      </w:pPr>
      <w:r>
        <w:t>6. 业务规则（Rule）</w:t>
      </w:r>
    </w:p>
    <w:p>
      <w:r>
        <w:t>• 未明确合同用途的付款先进入客户挂账，不直接计入某张账单已收</w:t>
      </w:r>
    </w:p>
    <w:p>
      <w:r>
        <w:t>• 每次分配金额不得超过挂账剩余金额</w:t>
      </w:r>
    </w:p>
    <w:p>
      <w:r>
        <w:t>• 分配核销后挂账剩余金额与对应账单已收金额同步更新</w:t>
      </w:r>
    </w:p>
    <w:p>
      <w:r>
        <w:t>• 需求依据：甲方《公路广告牌管理系统需求说明》§6 财务管理（未指定合同用途的客户挂账及后续分配）；TAPD需求梳理定稿 P5-06。</w:t>
      </w:r>
    </w:p>
    <w:p>
      <w:pPr>
        <w:pStyle w:val="21"/>
      </w:pPr>
      <w:r>
        <w:t>7. 验收标准</w:t>
      </w:r>
    </w:p>
    <w:p>
      <w:r>
        <w:t>• 用途不明的收款可先记入客户挂账</w:t>
      </w:r>
    </w:p>
    <w:p>
      <w:r>
        <w:t>• 确认用途后可将挂账余额分配到具体应收</w:t>
      </w:r>
    </w:p>
    <w:p>
      <w:r>
        <w:t>• 分配后挂账剩余金额与账单已收金额一致且不超挂账总额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