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财务管理——登记支出</w:t>
      </w:r>
    </w:p>
    <w:p>
      <w:r>
        <w:t>所属项目：高速公路广告牌管理系统</w:t>
      </w:r>
    </w:p>
    <w:p>
      <w:r>
        <w:t>需求编号：07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我希望登记路政费、保险费、维护维修费等支出的费用类型、收款方、金额、付款期限及实际付款流水，</w:t>
      </w:r>
    </w:p>
    <w:p>
      <w:r>
        <w:t>以便形成应付与付款台账，掌握对外支出情况。</w:t>
      </w:r>
    </w:p>
    <w:p>
      <w:pPr>
        <w:pStyle w:val="21"/>
      </w:pPr>
      <w:r>
        <w:t>2. 业务背景（Why）</w:t>
      </w:r>
    </w:p>
    <w:p>
      <w:r>
        <w:t>经营广告牌需缴纳路政费、保险费，并支付售后维护维修费等。这些属于对外支出，应与客户应收分开管理。需要登记应付账单，实际付款后登记付款流水和凭证，系统自动计算应付、已付、未付。</w:t>
      </w:r>
    </w:p>
    <w:p>
      <w:pPr>
        <w:pStyle w:val="21"/>
      </w:pPr>
      <w:r>
        <w:t>3. 用户角色（Who）</w:t>
      </w:r>
    </w:p>
    <w:p>
      <w:r>
        <w:t>主要角色：财务管理员（登记应付与付款）</w:t>
      </w:r>
    </w:p>
    <w:p>
      <w:r>
        <w:t>其他角色：售后维护人员（维护费支出相关）、部门领导（查看支出）</w:t>
      </w:r>
    </w:p>
    <w:p>
      <w:pPr>
        <w:pStyle w:val="21"/>
      </w:pPr>
      <w:r>
        <w:t>4. 功能需求（What）</w:t>
      </w:r>
    </w:p>
    <w:p>
      <w:r>
        <w:t>• 登记应付账单：费用类型、收款方、金额、付款期限、关联广告牌</w:t>
      </w:r>
    </w:p>
    <w:p>
      <w:r>
        <w:t>• 实际付款后登记付款流水：付款日期、付款金额、付款方式、付款凭证</w:t>
      </w:r>
    </w:p>
    <w:p>
      <w:r>
        <w:t>• 系统自动汇总应付、已付、未付金额</w:t>
      </w:r>
    </w:p>
    <w:p>
      <w:r>
        <w:t>• 应收与应付使用独立台账分开管理</w:t>
      </w:r>
    </w:p>
    <w:p>
      <w:pPr>
        <w:pStyle w:val="21"/>
      </w:pPr>
      <w:r>
        <w:t>5. 数据需求业务对象（Data）</w:t>
      </w:r>
    </w:p>
    <w:p>
      <w:r>
        <w:t>• 应付账单（账单编号、费用类型、收款方、关联广告牌、应付金额、付款期限、已付金额、未付金额、付款状态）</w:t>
      </w:r>
    </w:p>
    <w:p>
      <w:r>
        <w:t>• 付款流水（应付账单、付款日期、付款金额、付款方式、付款凭证、操作人）</w:t>
      </w:r>
    </w:p>
    <w:p>
      <w:pPr>
        <w:pStyle w:val="21"/>
      </w:pPr>
      <w:r>
        <w:t>6. 业务规则（Rule）</w:t>
      </w:r>
    </w:p>
    <w:p>
      <w:r>
        <w:t>• 支出台账与客户应收台账独立，互不混淆</w:t>
      </w:r>
    </w:p>
    <w:p>
      <w:r>
        <w:t>• 已付金额由付款流水核销，未付金额＝应付金额－已付金额</w:t>
      </w:r>
    </w:p>
    <w:p>
      <w:r>
        <w:t>• 每笔付款须关联对应应付账单并保留付款凭证</w:t>
      </w:r>
    </w:p>
    <w:p>
      <w:r>
        <w:t>• 需求依据：甲方《公路广告牌管理系统需求说明》§6 财务管理（应付账单及付款台账、路政费/保险费/维护维修费）；TAPD需求梳理定稿 P5-07。</w:t>
      </w:r>
    </w:p>
    <w:p>
      <w:pPr>
        <w:pStyle w:val="21"/>
      </w:pPr>
      <w:r>
        <w:t>7. 验收标准</w:t>
      </w:r>
    </w:p>
    <w:p>
      <w:r>
        <w:t>• 可登记应付账单与付款流水并上传凭证</w:t>
      </w:r>
    </w:p>
    <w:p>
      <w:r>
        <w:t>• 应付、已付、未付分别可查且勾稽一致</w:t>
      </w:r>
    </w:p>
    <w:p>
      <w:r>
        <w:t>• 支出台账与应收台账相互独立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