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广告牌资产管理——路段/地区/运营单位维护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我希望可以维护路段档案以及对应的地区和运营单位，</w:t>
      </w:r>
    </w:p>
    <w:p>
      <w:r>
        <w:t>以便在登记广告牌档案时选择正确的归属，并保证按路段、地区统计口径一致。</w:t>
      </w:r>
    </w:p>
    <w:p>
      <w:pPr>
        <w:pStyle w:val="21"/>
      </w:pPr>
      <w:r>
        <w:t>2. 业务背景（Why）</w:t>
      </w:r>
    </w:p>
    <w:p>
      <w:r>
        <w:t>高速公路广告牌按所属路段、所在地区和运营单位进行归口管理。运营档案员在登记广告牌档案前，需要先建立路段档案，并维护地区与运营单位信息，作为广告牌归属选择的基础数据，保证后续按路段、地区统计和资产管理的口径一致。</w:t>
      </w:r>
    </w:p>
    <w:p>
      <w:pPr>
        <w:pStyle w:val="21"/>
      </w:pPr>
      <w:r>
        <w:t>3. 用户角色（Who）</w:t>
      </w:r>
    </w:p>
    <w:p>
      <w:r>
        <w:t>主要角色：运营档案员；负责维护路段档案、地区和运营单位信息。</w:t>
      </w:r>
    </w:p>
    <w:p>
      <w:r>
        <w:t>其他角色：系统管理员；参与基础数据维护；合同管理员、财务管理员、售后维护人员在登记业务时引用已维护的路段、地区、运营单位。</w:t>
      </w:r>
    </w:p>
    <w:p>
      <w:pPr>
        <w:pStyle w:val="21"/>
      </w:pPr>
      <w:r>
        <w:t>4. 功能需求（What）</w:t>
      </w:r>
    </w:p>
    <w:p>
      <w:r>
        <w:t>• 可新增、编辑、停用路段档案，维护路段编号、路段名称、所属地区、运营单位、状态和备注。</w:t>
      </w:r>
    </w:p>
    <w:p>
      <w:r>
        <w:t>• 可维护地区信息，作为路段所属地区的下拉选项。</w:t>
      </w:r>
    </w:p>
    <w:p>
      <w:r>
        <w:t>• 可维护运营单位信息，作为路段归属运营单位的下拉选项。</w:t>
      </w:r>
    </w:p>
    <w:p>
      <w:r>
        <w:t>• 路段、地区、运营单位维护后，在广告牌档案登记的归属选择下拉框中可用。</w:t>
      </w:r>
    </w:p>
    <w:p>
      <w:r>
        <w:t>• 支持按路段名称、地区、运营单位查询已维护的档案。</w:t>
      </w:r>
    </w:p>
    <w:p>
      <w:pPr>
        <w:pStyle w:val="21"/>
      </w:pPr>
      <w:r>
        <w:t>5. 数据需求业务对象（Data）</w:t>
      </w:r>
    </w:p>
    <w:p>
      <w:r>
        <w:t>• 路段档案：路段编号、路段名称、所属地区、运营单位、状态（启用/停用）、备注。</w:t>
      </w:r>
    </w:p>
    <w:p>
      <w:r>
        <w:t>• 地区：地区编码、地区名称、状态。</w:t>
      </w:r>
    </w:p>
    <w:p>
      <w:r>
        <w:t>• 运营单位：单位编码、单位名称、状态。</w:t>
      </w:r>
    </w:p>
    <w:p>
      <w:pPr>
        <w:pStyle w:val="21"/>
      </w:pPr>
      <w:r>
        <w:t>6. 业务规则（Rule）</w:t>
      </w:r>
    </w:p>
    <w:p>
      <w:r>
        <w:t>• 路段编号不能重复。</w:t>
      </w:r>
    </w:p>
    <w:p>
      <w:r>
        <w:t>• 已被广告牌档案引用的路段不允许物理删除，仅可停用。</w:t>
      </w:r>
    </w:p>
    <w:p>
      <w:r>
        <w:t>• 路段停用后，新建广告牌档案不再可选该路段，但历史广告牌仍保留原归属。</w:t>
      </w:r>
    </w:p>
    <w:p>
      <w:r>
        <w:t>• 地区和运营单位维护口径需与实际高速公路管辖范围一致。</w:t>
      </w:r>
    </w:p>
    <w:p>
      <w:r>
        <w:t>• 需求依据：甲方《公路广告牌管理系统需求说明》§3.1 路段档案；TAPD需求梳理定稿 P2-01。</w:t>
      </w:r>
    </w:p>
    <w:p>
      <w:pPr>
        <w:pStyle w:val="21"/>
      </w:pPr>
      <w:r>
        <w:t>7. 验收标准</w:t>
      </w:r>
    </w:p>
    <w:p>
      <w:r>
        <w:t>• 运营档案员可新增一条路段档案，填写编号、名称、地区、运营单位后保存成功。</w:t>
      </w:r>
    </w:p>
    <w:p>
      <w:r>
        <w:t>• 路段编号重复时系统提示不允许保存。</w:t>
      </w:r>
    </w:p>
    <w:p>
      <w:r>
        <w:t>• 停用某路段后，新建广告牌档案下拉框中不再出现该路段。</w:t>
      </w:r>
    </w:p>
    <w:p>
      <w:r>
        <w:t>• 历史广告牌档案中已引用的路段仍正常显示。</w:t>
      </w:r>
    </w:p>
    <w:p>
      <w:r>
        <w:t>• 广告牌档案登记时，所属路段、地区、运营单位下拉框来源于本功能维护的数据。</w:t>
      </w:r>
    </w:p>
    <w:p>
      <w:r>
        <w:t>• 可按路段名称或运营单位查询出对应路段档案。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