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财务管理——自动算每年该收多少钱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我希望系统根据合同中每块广告牌的各年度租金，按年度自动计算并生成每年应收金额，</w:t>
      </w:r>
    </w:p>
    <w:p>
      <w:r>
        <w:t>以便无需人工逐笔套算，准确得出每年该向客户收取的费用。</w:t>
      </w:r>
    </w:p>
    <w:p>
      <w:pPr>
        <w:pStyle w:val="21"/>
      </w:pPr>
      <w:r>
        <w:t>2. 业务背景（Why）</w:t>
      </w:r>
    </w:p>
    <w:p>
      <w:r>
        <w:t>广告牌合同多为多年期，且同一块广告牌在不同年度的租金可能不同。财务若按合同总额人工分摊到每年，工作量大且容易出错。需要系统按“年度×广告牌”自动拆分并计算每年应收，形成应收账单的计算依据。</w:t>
      </w:r>
    </w:p>
    <w:p>
      <w:pPr>
        <w:pStyle w:val="21"/>
      </w:pPr>
      <w:r>
        <w:t>3. 用户角色（Who）</w:t>
      </w:r>
    </w:p>
    <w:p>
      <w:r>
        <w:t>主要角色：财务管理员（按年度生成应收、核对金额）</w:t>
      </w:r>
    </w:p>
    <w:p>
      <w:r>
        <w:t>其他角色：合同管理员（维护合同各年度租金）、部门领导（查看计算结果）</w:t>
      </w:r>
    </w:p>
    <w:p>
      <w:pPr>
        <w:pStyle w:val="21"/>
      </w:pPr>
      <w:r>
        <w:t>4. 功能需求（What）</w:t>
      </w:r>
    </w:p>
    <w:p>
      <w:r>
        <w:t>• 根据已生效合同中每块广告牌的各年度租金，按计费年度汇总该年度应收总额</w:t>
      </w:r>
    </w:p>
    <w:p>
      <w:r>
        <w:t>• 按“年度×广告牌”拆分应收，多年期合同自动生成对应年度的应收记录</w:t>
      </w:r>
    </w:p>
    <w:p>
      <w:r>
        <w:t>• 计算结果展示该客户、该年度、各广告牌明细及合计应收金额</w:t>
      </w:r>
    </w:p>
    <w:p>
      <w:r>
        <w:t>• 支持重新计算与复核，金额可追溯到合同年度租金</w:t>
      </w:r>
    </w:p>
    <w:p>
      <w:pPr>
        <w:pStyle w:val="21"/>
      </w:pPr>
      <w:r>
        <w:t>5. 数据需求业务对象（Data）</w:t>
      </w:r>
    </w:p>
    <w:p>
      <w:r>
        <w:t>• 合同及关联广告牌清单</w:t>
      </w:r>
    </w:p>
    <w:p>
      <w:r>
        <w:t>• 每块广告牌各年度租金记录</w:t>
      </w:r>
    </w:p>
    <w:p>
      <w:r>
        <w:t>• 按年度汇总的应收金额（客户、计费年度、广告牌、应收金额）</w:t>
      </w:r>
    </w:p>
    <w:p>
      <w:pPr>
        <w:pStyle w:val="21"/>
      </w:pPr>
      <w:r>
        <w:t>6. 业务规则（Rule）</w:t>
      </w:r>
    </w:p>
    <w:p>
      <w:r>
        <w:t>• 应收按“年度×广告牌”拆分计算，不直接按合同总额一次性入账</w:t>
      </w:r>
    </w:p>
    <w:p>
      <w:r>
        <w:t>• 同一广告牌在同一年度只能对应一份生效合同的租金参与计算</w:t>
      </w:r>
    </w:p>
    <w:p>
      <w:r>
        <w:t>• 各年度租金以合同中登记的年度价格为准，未登记年度价格不得自动生成应收</w:t>
      </w:r>
    </w:p>
    <w:p>
      <w:r>
        <w:t>• 需求依据：甲方《公路广告牌管理系统需求说明》§6 财务管理（按年度和广告牌生成应收账单、每块广告牌各年度租金）；TAPD需求梳理定稿 P5-01。</w:t>
      </w:r>
    </w:p>
    <w:p>
      <w:pPr>
        <w:pStyle w:val="21"/>
      </w:pPr>
      <w:r>
        <w:t>7. 验收标准</w:t>
      </w:r>
    </w:p>
    <w:p>
      <w:r>
        <w:t>• 多年期、多广告牌合同能按年度自动拆分出每年应收金额</w:t>
      </w:r>
    </w:p>
    <w:p>
      <w:r>
        <w:t>• 每条年度应收可追溯到对应广告牌的年度租金</w:t>
      </w:r>
    </w:p>
    <w:p>
      <w:r>
        <w:t>• 未登记年度租金的广告牌不参与自动计算并给出提示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