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TacSignal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Monthly Update Playbook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 step-by-step guide to computing and importing tactical asset allocation signals</w:t>
      </w:r>
    </w:p>
    <w:p>
      <w:pPr>
        <w:spacing w:before="16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For use with the TacSignal Interactive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playbook documents the monthly process for updating the TacSignal tactical asset allocation dashboard. It covers data sourcing, computation of technical and fundamental z-scores, determination of behavioral weights, and importing results into the dashboard.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process can be run manually (following sections 3–5) or automated using the Python script (section 6). Either way, the output is a JSON file that the dashboard imports directly.</w:t>
      </w:r>
    </w:p>
    <w:p>
      <w:pPr>
        <w:pStyle w:val="Heading2"/>
      </w:pPr>
      <w:r>
        <w:rPr>
          <w:rFonts w:ascii="Arial" w:cs="Arial" w:eastAsia="Arial" w:hAnsi="Arial"/>
        </w:rPr>
        <w:t xml:space="preserve">Time Required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 (spreadsheet)</w:t>
            </w:r>
          </w:p>
        </w:tc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45–60 minutes</w:t>
            </w:r>
          </w:p>
        </w:tc>
      </w:tr>
      <w:tr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script (automated)</w:t>
            </w:r>
          </w:p>
        </w:tc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2–3 minutes</w:t>
            </w:r>
          </w:p>
        </w:tc>
      </w:tr>
      <w:tr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 with cached templates</w:t>
            </w:r>
          </w:p>
        </w:tc>
        <w:tc>
          <w:tcPr>
            <w:tcW w:type="dxa" w:w="4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20–30 minutes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Recommended Schedule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Run on the first Friday of each month, after markets close. This ensures you capture the full prior month of data and aligns with the BhFS original reporting cadence.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Asset Universe &amp; Tickers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dashboard tracks 14 asset classes and 10 U.S. equity sectors. Below are the benchmark indices and free data proxies for each.</w:t>
      </w:r>
    </w:p>
    <w:p>
      <w:pPr>
        <w:pStyle w:val="Heading2"/>
      </w:pPr>
      <w:r>
        <w:rPr>
          <w:rFonts w:ascii="Arial" w:cs="Arial" w:eastAsia="Arial" w:hAnsi="Arial"/>
        </w:rPr>
        <w:t xml:space="preserve">Asset Classes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00"/>
        <w:gridCol w:w="1340"/>
        <w:gridCol w:w="14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Bloomberg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Yahoo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Equity 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SPI Total Return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SPI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^SSMI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Equity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Equity EU ex 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MSCI Europe ex CH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MXEUC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EZU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Equity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Equity U.S.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SPX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^GSPC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Equity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Equity Japan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MSCI Japan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MXJP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EWJ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Equity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Equity Asia-Pac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MSCI AC Asia-Pac ex JP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MXAPJ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AAXJ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Equity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Equity 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MSCI Emerging Mkts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MXEF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EEM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Equity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Bond 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SBI AAA-BBB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SBR14T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CHSB.SW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Bond EU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Euro Aggregate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LEGATRUU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IEAG.L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Bond U.S.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Bloomberg US Agg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LBUSTRUU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AGG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Bond Japan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Japan Govt Bond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JNBIG Index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BNDX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Gold Spot USD/oz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XAU Curncy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GC=F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Cmdty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WTI Crude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CL1 Comdty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CL=F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Cmdty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Euro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EUR/CHF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EURCHF Curncy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EURCHF=X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U.S. Dollar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USD/CHF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USDCHF Curncy</w:t>
            </w:r>
          </w:p>
        </w:tc>
        <w:tc>
          <w:tcPr>
            <w:tcW w:type="dxa" w:w="1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CHF=X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U.S. Equity Sectors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0"/>
        <w:gridCol w:w="342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S&amp;P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SPDR ETF (Yahoo)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Financials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S5FINL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XLF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Consumer Disc.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S5COND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Industrials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S5INDU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Consumer Staples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S5CONS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Health Care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S5HLTH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XLV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Info Technology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S5INFT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Energy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S5ENRS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Materials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S5MATR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Telecom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S5TELS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XLC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Utilities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S5UTIL Index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XLU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Computing Technical Scores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Technical scores measure momentum and trend strength. They are z-scores of a composite technical indicator, computed over a rolling 24-month window.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Required Data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For each asset: daily closing prices for the past 3 years (to have enough history for 200-day moving averages and 24-month z-score window). Download from Yahoo Finance or Bloomberg.</w:t>
      </w:r>
    </w:p>
    <w:p>
      <w:pPr>
        <w:pStyle w:val="Heading2"/>
      </w:pPr>
      <w:r>
        <w:rPr>
          <w:rFonts w:ascii="Arial" w:cs="Arial" w:eastAsia="Arial" w:hAnsi="Arial"/>
        </w:rPr>
        <w:t xml:space="preserve">Step-by-Step Computation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daily moving averages: </w:t>
      </w:r>
      <w:r>
        <w:rPr>
          <w:rFonts w:ascii="Arial" w:cs="Arial" w:eastAsia="Arial" w:hAnsi="Arial"/>
          <w:sz w:val="22"/>
          <w:szCs w:val="22"/>
        </w:rPr>
        <w:t xml:space="preserve">SMA_50 (50-day simple moving average) and SMA_200 (200-day simple moving average).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Resample to monthly: </w:t>
      </w:r>
      <w:r>
        <w:rPr>
          <w:rFonts w:ascii="Arial" w:cs="Arial" w:eastAsia="Arial" w:hAnsi="Arial"/>
          <w:sz w:val="22"/>
          <w:szCs w:val="22"/>
        </w:rPr>
        <w:t xml:space="preserve">Take the last observation of each calendar month for price, SMA_50, and SMA_200.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three components: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 Position </w:t>
      </w:r>
      <w:r>
        <w:rPr>
          <w:rFonts w:ascii="Arial" w:cs="Arial" w:eastAsia="Arial" w:hAnsi="Arial"/>
          <w:sz w:val="22"/>
          <w:szCs w:val="22"/>
        </w:rPr>
        <w:t xml:space="preserve">= Price / SMA_200 − 1 (positive when above 200-day trend)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12–1 Momentum </w:t>
      </w:r>
      <w:r>
        <w:rPr>
          <w:rFonts w:ascii="Arial" w:cs="Arial" w:eastAsia="Arial" w:hAnsi="Arial"/>
          <w:sz w:val="22"/>
          <w:szCs w:val="22"/>
        </w:rPr>
        <w:t xml:space="preserve">= 12-month return minus 1-month return (avoids short-term reversal)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Crossover </w:t>
      </w:r>
      <w:r>
        <w:rPr>
          <w:rFonts w:ascii="Arial" w:cs="Arial" w:eastAsia="Arial" w:hAnsi="Arial"/>
          <w:sz w:val="22"/>
          <w:szCs w:val="22"/>
        </w:rPr>
        <w:t xml:space="preserve">= SMA_50 / SMA_200 − 1 (golden cross = positive)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 into raw composite: </w:t>
      </w:r>
      <w:r>
        <w:rPr>
          <w:rFonts w:ascii="Courier New" w:cs="Courier New" w:eastAsia="Courier New" w:hAnsi="Courier New"/>
          <w:sz w:val="20"/>
          <w:szCs w:val="20"/>
        </w:rPr>
        <w:t xml:space="preserve">raw_tech = 0.5 × Trend Position + 0.3 × Momentum + 0.2 × MA Crossover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Z-score: </w:t>
      </w:r>
      <w:r>
        <w:rPr>
          <w:rFonts w:ascii="Arial" w:cs="Arial" w:eastAsia="Arial" w:hAnsi="Arial"/>
          <w:sz w:val="22"/>
          <w:szCs w:val="22"/>
        </w:rPr>
        <w:t xml:space="preserve">Z_tech = (raw_tech − mean) / stdev, computed over a trailing 24-month rolling window. Clip to [−4, +4].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Computing Fundamental Scores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Fundamental scores measure valuation and macro conditions. The inputs vary by asset type, but the process is the same: compute a raw fundamental composite, then z-score it over 24 months.</w:t>
      </w:r>
    </w:p>
    <w:p>
      <w:pPr>
        <w:pStyle w:val="Heading2"/>
      </w:pPr>
      <w:r>
        <w:rPr>
          <w:rFonts w:ascii="Arial" w:cs="Arial" w:eastAsia="Arial" w:hAnsi="Arial"/>
        </w:rPr>
        <w:t xml:space="preserve">Inputs by Asset Type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40"/>
        <w:gridCol w:w="38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Source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Equities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Earnings yield (1/PE), book-to-price, dividend yield, earnings revision ratio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Yahoo Finance (trailing P/E, P/B); FRED (Shiller CAPE via MULTPL)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Bonds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 yield (TIPS), term spread (10Y−2Y), credit spread (BBB-Tsy)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6"/>
                <w:szCs w:val="16"/>
              </w:rPr>
              <w:t xml:space="preserve">FRED: DGS10, DGS2, DFII10, BAMLC0A4CBBB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Cmdty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Roll yield, inventory levels, real price vs. long-term trend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EIA (oil inventory); FRED; COMEX (gold)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FX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 effective exchange rate, interest rate differential, current account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BIS REER; FRED (rates); IMF (C/A)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Simplified Approach (Price-Derived)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you don’t have Bloomberg or extensive fundamental data, a reasonable approximation is to use a contrarian value signal: the negative deviation of log-price from its 36-month trend. This captures “cheapness” relative to recent history. For equities, combine this with the inverse of VIX (from FRED series VIXCLS).</w:t>
      </w:r>
    </w:p>
    <w:p>
      <w:pPr>
        <w:pStyle w:val="Heading2"/>
      </w:pPr>
      <w:r>
        <w:rPr>
          <w:rFonts w:ascii="Arial" w:cs="Arial" w:eastAsia="Arial" w:hAnsi="Arial"/>
        </w:rPr>
        <w:t xml:space="preserve">FRED API Key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To access FRED data programmatically, get a free API key at: https://fred.stlouisfed.org/docs/api/api_key.html. Set it as an environment variable (FRED_API_KEY) or pass it to the Python script with --fred-key.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Behavioral Weight (w_tech)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behavioral weight determines how much the final signal relies on technicals vs. fundamentals. In the original BhFS framework, this is computed via a proprietary behavioral objective function. We approximate it with a regime-detection rule.</w:t>
      </w:r>
    </w:p>
    <w:p>
      <w:pPr>
        <w:pStyle w:val="Heading2"/>
      </w:pPr>
      <w:r>
        <w:rPr>
          <w:rFonts w:ascii="Arial" w:cs="Arial" w:eastAsia="Arial" w:hAnsi="Arial"/>
        </w:rPr>
        <w:t xml:space="preserve">Regime Approximation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Compute trailing 12-month absolute return for each asset.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Compute the rolling 24-month median of absolute returns.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current absolute momentum &gt; median: w_tech = 100% (trending regime — trust technicals).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current absolute momentum ≤ median: w_tech = 0% (mean-reverting regime — trust fundamentals).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This binary approach mirrors the pattern in the BhFS sample data, where w_tech is typically 0% or 100%. For a more nuanced approach, you can use a continuous function based on realized volatility.</w:t>
      </w:r>
    </w:p>
    <w:p>
      <w:pPr>
        <w:pStyle w:val="Heading2"/>
      </w:pPr>
      <w:r>
        <w:rPr>
          <w:rFonts w:ascii="Arial" w:cs="Arial" w:eastAsia="Arial" w:hAnsi="Arial"/>
        </w:rPr>
        <w:t xml:space="preserve">Alternative: Manual Override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you have a macro view on the current regime, you can manually set w_tech in the dashboard’s Data Grid tab or use the What-If Scenario tab to test different assumptions.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Automated Pipeline (Python)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included Python script automates the entire process. It pulls prices from Yahoo Finance, fetches macro data from FRED, computes z-scores, and outputs a JSON file for the dashboard.</w:t>
      </w:r>
    </w:p>
    <w:p>
      <w:pPr>
        <w:pStyle w:val="Heading2"/>
      </w:pPr>
      <w:r>
        <w:rPr>
          <w:rFonts w:ascii="Arial" w:cs="Arial" w:eastAsia="Arial" w:hAnsi="Arial"/>
        </w:rPr>
        <w:t xml:space="preserve">Installation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pip install yfinance pandas numpy fredapi</w:t>
      </w:r>
    </w:p>
    <w:p>
      <w:pPr>
        <w:pStyle w:val="Heading2"/>
      </w:pPr>
      <w:r>
        <w:rPr>
          <w:rFonts w:ascii="Arial" w:cs="Arial" w:eastAsia="Arial" w:hAnsi="Arial"/>
        </w:rPr>
        <w:t xml:space="preserve">Usage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# Basic run — produces tacsignal-YYYY-MM-DD.json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python tacsignal_data_pipeline.py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# With FRED data (for better fundamental scores)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python tacsignal_data_pipeline.py --fred-key YOUR_KEY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# Custom z-score window (default: 24 months)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python tacsignal_data_pipeline.py --window 36</w:t>
      </w:r>
    </w:p>
    <w:p>
      <w:pPr>
        <w:pStyle w:val="Heading2"/>
      </w:pPr>
      <w:r>
        <w:rPr>
          <w:rFonts w:ascii="Arial" w:cs="Arial" w:eastAsia="Arial" w:hAnsi="Arial"/>
        </w:rPr>
        <w:t xml:space="preserve">Output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script produces a JSON file containing all 24 assets/sectors with their current and previous z-scores, behavioral weights, and metadata. Import this file into the dashboard via the “Import JSON” button in the header.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Monthly Update Checklist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Follow this checklist on the first Friday of each month: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Python script </w:t>
      </w:r>
      <w:r>
        <w:rPr>
          <w:rFonts w:ascii="Arial" w:cs="Arial" w:eastAsia="Arial" w:hAnsi="Arial"/>
          <w:sz w:val="22"/>
          <w:szCs w:val="22"/>
        </w:rPr>
        <w:t xml:space="preserve">(or manually compute scores per sections 3–5)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output for anomalies </w:t>
      </w:r>
      <w:r>
        <w:rPr>
          <w:rFonts w:ascii="Arial" w:cs="Arial" w:eastAsia="Arial" w:hAnsi="Arial"/>
          <w:sz w:val="22"/>
          <w:szCs w:val="22"/>
        </w:rPr>
        <w:t xml:space="preserve">— any z-score at ±4 may indicate a data issue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JSON into the dashboard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signal changes </w:t>
      </w:r>
      <w:r>
        <w:rPr>
          <w:rFonts w:ascii="Arial" w:cs="Arial" w:eastAsia="Arial" w:hAnsi="Arial"/>
          <w:sz w:val="22"/>
          <w:szCs w:val="22"/>
        </w:rPr>
        <w:t xml:space="preserve">— review which assets flipped signals vs. last month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 What-If tab </w:t>
      </w:r>
      <w:r>
        <w:rPr>
          <w:rFonts w:ascii="Arial" w:cs="Arial" w:eastAsia="Arial" w:hAnsi="Arial"/>
          <w:sz w:val="22"/>
          <w:szCs w:val="22"/>
        </w:rPr>
        <w:t xml:space="preserve">to stress-test any assets near signal boundaries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the current state </w:t>
      </w:r>
      <w:r>
        <w:rPr>
          <w:rFonts w:ascii="Arial" w:cs="Arial" w:eastAsia="Arial" w:hAnsi="Arial"/>
          <w:sz w:val="22"/>
          <w:szCs w:val="22"/>
        </w:rPr>
        <w:t xml:space="preserve">as JSON for archival (creates a monthly audit trail)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any manual overrides </w:t>
      </w:r>
      <w:r>
        <w:rPr>
          <w:rFonts w:ascii="Arial" w:cs="Arial" w:eastAsia="Arial" w:hAnsi="Arial"/>
          <w:sz w:val="22"/>
          <w:szCs w:val="22"/>
        </w:rPr>
        <w:t xml:space="preserve">with rationale (e.g. w_tech adjustment for a specific view)</w:t>
      </w:r>
    </w:p>
    <w:p>
      <w:pPr>
        <w:pStyle w:val="Heading2"/>
      </w:pPr>
      <w:r>
        <w:rPr>
          <w:rFonts w:ascii="Arial" w:cs="Arial" w:eastAsia="Arial" w:hAnsi="Arial"/>
        </w:rPr>
        <w:t xml:space="preserve">Changing Macro Environments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 regime shifts (e.g. rate hike cycle ending, recession onset, geopolitical shock), consider adjusting: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Z-score window: </w:t>
      </w:r>
      <w:r>
        <w:rPr>
          <w:rFonts w:ascii="Arial" w:cs="Arial" w:eastAsia="Arial" w:hAnsi="Arial"/>
          <w:sz w:val="22"/>
          <w:szCs w:val="22"/>
        </w:rPr>
        <w:t xml:space="preserve">Shorten to 12 months during fast regime changes (captures the new normal faster). Lengthen to 36 months during stable periods (reduces noise).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thresholds: </w:t>
      </w:r>
      <w:r>
        <w:rPr>
          <w:rFonts w:ascii="Arial" w:cs="Arial" w:eastAsia="Arial" w:hAnsi="Arial"/>
          <w:sz w:val="22"/>
          <w:szCs w:val="22"/>
        </w:rPr>
        <w:t xml:space="preserve">Widen to ±1.5 during high-conviction periods (fewer but stronger signals). Narrow to ±0.75 during uncertainty (more signals, lower conviction).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w_tech override: </w:t>
      </w:r>
      <w:r>
        <w:rPr>
          <w:rFonts w:ascii="Arial" w:cs="Arial" w:eastAsia="Arial" w:hAnsi="Arial"/>
          <w:sz w:val="22"/>
          <w:szCs w:val="22"/>
        </w:rPr>
        <w:t xml:space="preserve">During panic selloffs, technicals dominate (set w_tech high). During grinding recoveries, fundamentals often lead (set w_tech low).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Fundamental inputs: </w:t>
      </w:r>
      <w:r>
        <w:rPr>
          <w:rFonts w:ascii="Arial" w:cs="Arial" w:eastAsia="Arial" w:hAnsi="Arial"/>
          <w:sz w:val="22"/>
          <w:szCs w:val="22"/>
        </w:rPr>
        <w:t xml:space="preserve">After a structural break, manually review whether the z-score normalization window contains pre-break data that distorts the signal. If so, shorten the window or restart the computation from the break date.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Troubleshooting &amp; Known Issues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Yahoo Finance returns NaN</w:t>
            </w:r>
          </w:p>
        </w:tc>
        <w:tc>
          <w:tcPr>
            <w:tcW w:type="dxa" w:w="6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Some tickers (especially Swiss bonds, CHSB.SW) have limited history. Use a shorter window or substitute with a proxy ETF.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Z-scores all near zero</w:t>
            </w:r>
          </w:p>
        </w:tc>
        <w:tc>
          <w:tcPr>
            <w:tcW w:type="dxa" w:w="6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24-month window may be too short after a regime break. Check that raw indicator series has variation. Consider using a 12-month window temporarily.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FRED API errors</w:t>
            </w:r>
          </w:p>
        </w:tc>
        <w:tc>
          <w:tcPr>
            <w:tcW w:type="dxa" w:w="6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your API key is active. FRED has a rate limit of 120 requests/minute. The script makes ~10 requests, so this rarely triggers.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Dashboard import fails</w:t>
            </w:r>
          </w:p>
        </w:tc>
        <w:tc>
          <w:tcPr>
            <w:tcW w:type="dxa" w:w="6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Ensure the JSON file has "assets" and "sectors" arrays. Each item needs at minimum: name, tech, funda, wTech fields.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Signals don’t match BhFS</w:t>
            </w:r>
          </w:p>
        </w:tc>
        <w:tc>
          <w:tcPr>
            <w:tcW w:type="dxa" w:w="6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Expected. BhFS uses proprietary fundamental indicators and a behavioral w_tech function. Our approximation will produce directionally similar but not identical signals.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</w:pPr>
    <w:r>
      <w:rPr>
        <w:rFonts w:ascii="Arial" w:cs="Arial" w:eastAsia="Arial" w:hAnsi="Arial"/>
        <w:b/>
        <w:bCs/>
        <w:color w:val="2E86C1"/>
        <w:sz w:val="16"/>
        <w:szCs w:val="16"/>
      </w:rPr>
      <w:t xml:space="preserve">TacSignal</w:t>
    </w:r>
    <w:r>
      <w:rPr>
        <w:rFonts w:ascii="Arial" w:cs="Arial" w:eastAsia="Arial" w:hAnsi="Arial"/>
        <w:color w:val="7F8C8D"/>
        <w:sz w:val="16"/>
        <w:szCs w:val="16"/>
      </w:rPr>
      <w:t xml:space="preserve">  —  Monthly Update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2026-03-16T10:25:44.376Z</dcterms:created>
  <dcterms:modified xsi:type="dcterms:W3CDTF">2026-03-16T10:25:44.376Z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