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业务薪酬绩效管理规定</w:t>
      </w:r>
    </w:p>
    <w:p>
      <w:r>
        <w:t>版本：V2.0</w:t>
      </w:r>
    </w:p>
    <w:p>
      <w:r>
        <w:t>修订日期：2026年4月10日</w:t>
      </w:r>
    </w:p>
    <w:p/>
    <w:p>
      <w:pPr>
        <w:pStyle w:val="Heading2"/>
      </w:pPr>
      <w:r>
        <w:t>（以下为原文内容）</w:t>
      </w:r>
    </w:p>
    <w:p>
      <w:r>
        <w:t>业务薪酬绩效管理规定</w:t>
      </w:r>
    </w:p>
    <w:p>
      <w:r>
        <w:t>为规范公司业务人员薪酬绩效管理制度，建立公平、合理的管理体系，通过合理的薪酬设计体现“多劳多得、能者多得”的原则，保证公司的长期可持续发展，结合公司具体情况、行业特性、经营管理目标及公司发展方向，特制定本制度。</w:t>
      </w:r>
    </w:p>
    <w:p>
      <w:r>
        <w:t>第一条 业务类型</w:t>
      </w:r>
    </w:p>
    <w:p>
      <w:r>
        <w:t>1、业务开发指由自己、非公司资源而自行开发的业务。</w:t>
      </w:r>
    </w:p>
    <w:p>
      <w:r>
        <w:t>2、业务维护指由公司安排的或业务开发人员转交的非自己开发业务的跟踪维护。</w:t>
      </w:r>
    </w:p>
    <w:p>
      <w:r>
        <w:t>3、业务二次开发指从所维护的业务中，进行深入的、非原开发资源的、非维护检测类别的业务开发。当有争议时，由分管领导确定。</w:t>
      </w:r>
    </w:p>
    <w:p>
      <w:r>
        <w:t>第二条 维护业务分配办法</w:t>
      </w:r>
    </w:p>
    <w:p>
      <w:r>
        <w:t>1、开发人员有推荐的，经公司分管领导同意后，被推荐人成为该项业务的维护人员。</w:t>
      </w:r>
    </w:p>
    <w:p>
      <w:r>
        <w:t>2、开发人员无推荐的，由公司分管领导本着能者多劳、兼顾公平原则指定该项业务的维护人员。</w:t>
      </w:r>
    </w:p>
    <w:p>
      <w:r>
        <w:t>第三条 薪酬构成</w:t>
      </w:r>
    </w:p>
    <w:p>
      <w:r>
        <w:t>业务人员总薪酬=固定工资+业务开发绩效（含业务二次开发）+业务维护绩效+公司福利+部门年终奖+交通补贴</w:t>
      </w:r>
    </w:p>
    <w:p>
      <w:r>
        <w:t>第四条 固定工资</w:t>
      </w:r>
    </w:p>
    <w:p>
      <w:r>
        <w:t>1、各层级业务人员的固定工资详见公司现行的《薪资管理制度》。</w:t>
      </w:r>
    </w:p>
    <w:p>
      <w:r>
        <w:t>2、业务经理级别详见相关考核、评定制度。</w:t>
      </w:r>
    </w:p>
    <w:p>
      <w:r>
        <w:t>第五条 业务绩效</w:t>
      </w:r>
    </w:p>
    <w:p>
      <w:r>
        <w:t>1、业务维护绩效：业务净回款的2%；</w:t>
      </w:r>
    </w:p>
    <w:p>
      <w:r>
        <w:t>2、业务开发绩效（含二次开发）：业务净回款的4%；</w:t>
      </w:r>
    </w:p>
    <w:p>
      <w:r>
        <w:t>举例：当仅开发该项目业务，而将该项目业务转交他人进行维护的，开发人员获得该项目的开发绩效即该项目净回款的4%，该项目维护人员获得该项目的维护绩效即该项目净回款的2%；当开发该项目业务，且自行维护的，该业务人员同时获得该项目的开发绩效和维护绩效，即该项目净回款的6%；当仅维护他人开发的业务时，该项目维护人员获得该项目的维护绩效即该项目净回款的2%。</w:t>
      </w:r>
    </w:p>
    <w:p>
      <w:r>
        <w:t>说明：</w:t>
      </w:r>
    </w:p>
    <w:p>
      <w:r>
        <w:t>1）净回款指扣除业务返点后及地基基础检测劳务费后（注：以吨位计算检测费的按15元/吨、以点/根计算检测费的按1500元/点、根）的回款；</w:t>
      </w:r>
    </w:p>
    <w:p>
      <w:r>
        <w:t>2）助理业务经理按正常业务绩效的80%计算。</w:t>
      </w:r>
    </w:p>
    <w:p>
      <w:r>
        <w:t>第六条 部门年终奖</w:t>
      </w:r>
    </w:p>
    <w:p>
      <w:r>
        <w:t>根据个人年度综合表现（包括且不限于回款率、开发及二次开发业务量、过程追踪协调情况、基本技术掌握情况等），经部门分管领导确定的，从部门基金中获取的奖金。</w:t>
      </w:r>
    </w:p>
    <w:p>
      <w:r>
        <w:t>第七条 部门基金</w:t>
      </w:r>
    </w:p>
    <w:p>
      <w:r>
        <w:t>将个人全年绩效发放的20%绩效划为部门基金，部门基金主要用于部门活动经费、部门年终奖、部门文员绩效等。</w:t>
      </w:r>
    </w:p>
    <w:p>
      <w:r>
        <w:t>第八条 交通补贴</w:t>
      </w:r>
    </w:p>
    <w:p>
      <w:r>
        <w:t>1、助理业务经理：800元/月</w:t>
      </w:r>
    </w:p>
    <w:p>
      <w:r>
        <w:t>2、其它业务经理：1300元/月</w:t>
      </w:r>
    </w:p>
    <w:p>
      <w:r>
        <w:t>3、使用电车的业务经理，按以上标准减半发放到个人工资。</w:t>
      </w:r>
    </w:p>
    <w:p>
      <w:r>
        <w:t>当上月油卡未用完额度的，本月仅按上述标准给予补足。</w:t>
      </w:r>
    </w:p>
    <w:p>
      <w:r>
        <w:t>第九条 薪资发放</w:t>
      </w:r>
    </w:p>
    <w:p>
      <w:r>
        <w:t>1、固定工资根据公司管理规定按月进行发放；</w:t>
      </w:r>
    </w:p>
    <w:p>
      <w:r>
        <w:t>2、交通补贴按月发放；</w:t>
      </w:r>
    </w:p>
    <w:p>
      <w:r>
        <w:t>3、业务绩效每半年或一年进行发放一次，发放比例为经核算的业务总绩效的80%。</w:t>
      </w:r>
    </w:p>
    <w:p>
      <w:r>
        <w:t>第十条 招待费及伴手礼</w:t>
      </w:r>
    </w:p>
    <w:p>
      <w:r>
        <w:t>1、当不可避免需要进行招待或送礼时，属业务开发的两者总金额原则上不超过该项业务净合同额的1%；属业务既开发又自己维护的不超过该项业务净合同额的1%；属业务维护的不超过该项业务净合同额的0.3%；（注：净合同额指扣除返点及静载劳务费后的金额）。</w:t>
      </w:r>
    </w:p>
    <w:p>
      <w:r>
        <w:t>2、商务招待、送礼的类别及申请流程详见相关制度。</w:t>
      </w:r>
    </w:p>
    <w:p>
      <w:r>
        <w:t>3、本管理规定仅适用于本公司（不含总部业务人员），本规定试行一年。</w:t>
      </w:r>
    </w:p>
    <w:p>
      <w:r>
        <w:t>以上规定自2024年1月1日起实施，本制度的最终解释权为公司综合办公室。</w:t>
      </w:r>
    </w:p>
    <w:p>
      <w:r>
        <w:t>华检联（海南）检测技术有限公司</w:t>
      </w:r>
    </w:p>
    <w:p>
      <w:pPr>
        <w:pStyle w:val="Heading1"/>
      </w:pPr>
    </w:p>
    <w:p>
      <w:pPr>
        <w:pStyle w:val="Heading1"/>
      </w:pPr>
      <w:r>
        <w:t>【修订说明】</w:t>
      </w:r>
    </w:p>
    <w:p>
      <w:r>
        <w:t>**第一条 业务类型**：无重大修改，建议增加"业务类型定义"附件</w:t>
      </w:r>
    </w:p>
    <w:p>
      <w:r>
        <w:t>**第二条 维护业务分配**：建议补充：推荐人需填写《业务推荐表》，明确推荐责任</w:t>
      </w:r>
    </w:p>
    <w:p>
      <w:r>
        <w:t>**第三条 薪酬构成**：建议增加：绩效基数定义、扣除项说明</w:t>
      </w:r>
    </w:p>
    <w:p>
      <w:r>
        <w:t>**第四条 固定工资**：建议增加：薪资等级表、年薪制说明</w:t>
      </w:r>
    </w:p>
    <w:p>
      <w:pPr>
        <w:pStyle w:val="Heading2"/>
      </w:pPr>
      <w:r>
        <w:t>第五条 业务绩效</w:t>
      </w:r>
    </w:p>
    <w:p>
      <w:r>
        <w:t>• 明确"业务净回款"定义：实际到账金额（非确认收入）</w:t>
      </w:r>
    </w:p>
    <w:p>
      <w:r>
        <w:t>• 补充"劳务费扣除标准"含税/不含税说明</w:t>
      </w:r>
    </w:p>
    <w:p>
      <w:r>
        <w:t>• 增加试用期员工绩效计算方式</w:t>
      </w:r>
    </w:p>
    <w:p>
      <w:r>
        <w:t>• 补充绩效申诉渠道</w:t>
      </w:r>
    </w:p>
    <w:p>
      <w:r>
        <w:t>**第六条 部门年终奖**：建议增加：评定指标、计算公式、发放时间</w:t>
      </w:r>
    </w:p>
    <w:p>
      <w:r>
        <w:t>**第七条 部门基金**：建议增加：基金使用规则、审批流程、公示机制</w:t>
      </w:r>
    </w:p>
    <w:p>
      <w:pPr>
        <w:pStyle w:val="Heading2"/>
      </w:pPr>
      <w:r>
        <w:t>第八条 交通补贴</w:t>
      </w:r>
    </w:p>
    <w:p>
      <w:r>
        <w:t>• 建议修改"油卡未用完不补"为"未用完可累积至下月"</w:t>
      </w:r>
    </w:p>
    <w:p>
      <w:r>
        <w:t>• 增加电车补贴计算方式细化</w:t>
      </w:r>
    </w:p>
    <w:p>
      <w:r>
        <w:t>• 补充异地出差交通报销标准</w:t>
      </w:r>
    </w:p>
    <w:p>
      <w:pPr>
        <w:pStyle w:val="Heading2"/>
      </w:pPr>
      <w:r>
        <w:t>第九条 薪资发放</w:t>
      </w:r>
    </w:p>
    <w:p>
      <w:r>
        <w:t>• 明确20%尾款发放条件和时间</w:t>
      </w:r>
    </w:p>
    <w:p>
      <w:r>
        <w:t>• 增加延迟发放的处理方式</w:t>
      </w:r>
    </w:p>
    <w:p>
      <w:r>
        <w:t>• 补充离职员工绩效结算方式</w:t>
      </w:r>
    </w:p>
    <w:p>
      <w:pPr>
        <w:pStyle w:val="Heading2"/>
      </w:pPr>
      <w:r>
        <w:t>第十条 招待费及伴手礼</w:t>
      </w:r>
    </w:p>
    <w:p>
      <w:r>
        <w:t>• 增加单笔上限金额</w:t>
      </w:r>
    </w:p>
    <w:p>
      <w:r>
        <w:t>• 补充年度总额限制</w:t>
      </w:r>
    </w:p>
    <w:p>
      <w:r>
        <w:t>• 明确审批流程和票据要求</w:t>
      </w:r>
    </w:p>
    <w:p>
      <w:pPr>
        <w:pStyle w:val="Heading2"/>
      </w:pPr>
      <w:r>
        <w:t>补充条款</w:t>
      </w:r>
    </w:p>
    <w:p>
      <w:r>
        <w:t>• 新增：试用期薪酬规定</w:t>
      </w:r>
    </w:p>
    <w:p>
      <w:r>
        <w:t>• 新增：薪酬保密条款</w:t>
      </w:r>
    </w:p>
    <w:p>
      <w:r>
        <w:t>• 新增：异议处理条款</w:t>
      </w:r>
    </w:p>
    <w:p>
      <w:r>
        <w:t>• 新增：制度解释权条款</w:t>
      </w:r>
    </w:p>
    <w:p>
      <w:r>
        <w:t>• 新增：修订记录</w:t>
      </w:r>
    </w:p>
    <w:p>
      <w:pPr>
        <w:pStyle w:val="Heading1"/>
      </w:pPr>
    </w:p>
    <w:p>
      <w:pPr>
        <w:pStyle w:val="Heading1"/>
      </w:pPr>
      <w:r>
        <w:t>【详细修订建议】</w:t>
      </w:r>
    </w:p>
    <w:p>
      <w:r>
        <w:br/>
        <w:t>一、第五条业务绩效（重点修订）</w:t>
        <w:br/>
        <w:br/>
        <w:t>原表述："业务净回款的2%"</w:t>
        <w:br/>
        <w:br/>
        <w:t>建议修订为：</w:t>
        <w:br/>
        <w:t>"业务净回款的2%。净回款指实际回款到账金额扣除以下费用后的余额：</w:t>
        <w:br/>
        <w:t>（1）业务返点：按《业务返点标准》执行；</w:t>
        <w:br/>
        <w:t>（2）地基基础检测劳务费：以吨位计费的按15元/吨（含税），以点/根计费的按1500元/点·根（含税）；</w:t>
        <w:br/>
        <w:t>（3）税费：按国家规定代扣代缴个人所得税。</w:t>
        <w:br/>
        <w:br/>
        <w:t>试用期员工绩效：入职不满3个月的新员工，业务绩效按正常标准的60%执行；满3个月后按正常标准执行。"</w:t>
        <w:br/>
        <w:br/>
        <w:t>二、新增条款建议</w:t>
        <w:br/>
        <w:br/>
        <w:t>"第十一条 试用期薪酬</w:t>
        <w:br/>
        <w:t>新入职员工试用期3个月，试用期薪酬按转正后薪酬的80%发放。试用期绩效按正常绩效的60%计算。"</w:t>
        <w:br/>
        <w:br/>
        <w:t>"第十二条 薪酬保密</w:t>
        <w:br/>
        <w:t>公司实行薪酬保密制度，员工不得向他人透露自己或他人的薪酬水平。违反者视情节轻重给予警告或解除劳动合同处理。"</w:t>
        <w:br/>
        <w:br/>
        <w:t>"第十三条 异议处理</w:t>
        <w:br/>
        <w:t>员工对绩效计算有异议的，可在收到绩效明细后5个工作日内向人事部门提出书面申诉，人事部门在10个工作日内作出答复。"</w:t>
        <w:br/>
        <w:br/>
        <w:t>三、时效问题</w:t>
        <w:br/>
        <w:br/>
        <w:t>原制度："本规定试行一年，自2024年1月1日起实施"</w:t>
        <w:br/>
        <w:br/>
        <w:t>建议修订为：</w:t>
        <w:br/>
        <w:t>"本规定自2024年1月1日起施行，有效期至2025年12月31日。制度到期前1个月，由综合办公室组织评估修订。"</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