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0"/>
      </w:pPr>
    </w:p>
    <w:p>
      <w:pPr>
        <w:spacing w:before="0" w:after="0"/>
        <w:jc w:val="center"/>
      </w:pPr>
      <w:r>
        <w:rPr>
          <w:rFonts w:ascii="宋体" w:hAnsi="宋体" w:eastAsia="宋体"/>
          <w:b/>
          <w:color w:val="1F3864"/>
          <w:sz w:val="72"/>
        </w:rPr>
        <w:t>时间自由</w:t>
      </w:r>
    </w:p>
    <w:p>
      <w:pPr>
        <w:spacing w:before="80" w:after="240"/>
        <w:jc w:val="center"/>
      </w:pPr>
      <w:r>
        <w:rPr>
          <w:rFonts w:ascii="宋体" w:hAnsi="宋体" w:eastAsia="宋体"/>
          <w:color w:val="2E75B6"/>
          <w:sz w:val="36"/>
        </w:rPr>
        <w:t>重新定义财务自由的本质</w:t>
      </w:r>
    </w:p>
    <w:p>
      <w:pPr>
        <w:spacing w:before="80" w:after="240"/>
      </w:pPr>
    </w:p>
    <w:p>
      <w:pPr>
        <w:jc w:val="center"/>
      </w:pPr>
      <w:r>
        <w:rPr>
          <w:rFonts w:ascii="宋体" w:hAnsi="宋体" w:eastAsia="宋体"/>
          <w:color w:val="595959"/>
          <w:sz w:val="18"/>
        </w:rPr>
        <w:t>内容来源：元宝AI（微信视频号解读）  |  整理加工：QClaw</w:t>
      </w:r>
    </w:p>
    <w:p>
      <w:r>
        <w:br w:type="page"/>
      </w:r>
    </w:p>
    <w:p>
      <w:pPr>
        <w:spacing w:before="280" w:after="120"/>
        <w:jc w:val="left"/>
        <w:pBdr>
          <w:bottom w:val="single" w:sz="8" w:space="1" w:color="2E75B6"/>
        </w:pBdr>
      </w:pPr>
      <w:r>
        <w:rPr>
          <w:rFonts w:ascii="宋体" w:hAnsi="宋体" w:eastAsia="宋体"/>
          <w:b/>
          <w:color w:val="1F3864"/>
          <w:sz w:val="40"/>
        </w:rPr>
        <w:t>一、核心概念重构</w:t>
      </w:r>
    </w:p>
    <w:p>
      <w:pPr>
        <w:spacing w:before="200" w:after="100"/>
        <w:jc w:val="left"/>
      </w:pPr>
      <w:r>
        <w:rPr>
          <w:rFonts w:ascii="宋体" w:hAnsi="宋体" w:eastAsia="宋体"/>
          <w:b/>
          <w:color w:val="2E75B6"/>
          <w:sz w:val="32"/>
        </w:rPr>
        <w:t>▌ 传统误区</w:t>
      </w:r>
    </w:p>
    <w:p>
      <w:pPr>
        <w:spacing w:before="0" w:after="120"/>
        <w:jc w:val="left"/>
      </w:pPr>
      <w:r>
        <w:rPr>
          <w:rFonts w:ascii="宋体" w:hAnsi="宋体" w:eastAsia="宋体"/>
          <w:b/>
          <w:color w:val="C00000"/>
          <w:sz w:val="44"/>
        </w:rPr>
        <w:t>将财务自由等同于巨额财富积累（如1000万/1亿）——这是最大的思维陷阱。</w:t>
      </w:r>
    </w:p>
    <w:p>
      <w:pPr>
        <w:spacing w:before="60" w:after="60"/>
      </w:pPr>
    </w:p>
    <w:p>
      <w:pPr>
        <w:spacing w:before="200" w:after="100"/>
        <w:jc w:val="left"/>
      </w:pPr>
      <w:r>
        <w:rPr>
          <w:rFonts w:ascii="宋体" w:hAnsi="宋体" w:eastAsia="宋体"/>
          <w:b/>
          <w:color w:val="2E75B6"/>
          <w:sz w:val="32"/>
        </w:rPr>
        <w:t>▌ 本质定义</w:t>
      </w:r>
    </w:p>
    <w:p>
      <w:pPr>
        <w:spacing w:before="80" w:after="40"/>
      </w:pPr>
    </w:p>
    <w:p>
      <w:pPr>
        <w:spacing w:before="120" w:after="120"/>
        <w:jc w:val="center"/>
        <w:shd w:val="clear" w:color="auto" w:fill="EBF3FB"/>
      </w:pPr>
      <w:r>
        <w:rPr>
          <w:rFonts w:ascii="宋体" w:hAnsi="宋体" w:eastAsia="宋体"/>
          <w:b/>
          <w:color w:val="1F3864"/>
          <w:sz w:val="32"/>
        </w:rPr>
        <w:t>被动收入 &gt; 生活开支  =  时间自主权</w:t>
      </w:r>
    </w:p>
    <w:p>
      <w:pPr>
        <w:spacing w:before="80" w:after="60"/>
      </w:pPr>
    </w:p>
    <w:p>
      <w:pPr>
        <w:spacing w:before="200" w:after="100"/>
        <w:jc w:val="left"/>
      </w:pPr>
      <w:r>
        <w:rPr>
          <w:rFonts w:ascii="宋体" w:hAnsi="宋体" w:eastAsia="宋体"/>
          <w:b/>
          <w:color w:val="2E75B6"/>
          <w:sz w:val="32"/>
        </w:rPr>
        <w:t>▌ 关键转变</w:t>
      </w:r>
    </w:p>
    <w:p>
      <w:pPr>
        <w:spacing w:before="60" w:after="40"/>
      </w:pPr>
    </w:p>
    <w:p>
      <w:pPr>
        <w:spacing w:before="80" w:after="160"/>
        <w:jc w:val="center"/>
      </w:pPr>
      <w:r>
        <w:rPr>
          <w:rFonts w:ascii="宋体" w:hAnsi="宋体" w:eastAsia="宋体"/>
          <w:color w:val="595959"/>
          <w:sz w:val="28"/>
        </w:rPr>
        <w:t xml:space="preserve">从 </w:t>
      </w:r>
      <w:r>
        <w:rPr>
          <w:rFonts w:ascii="宋体" w:hAnsi="宋体" w:eastAsia="宋体"/>
          <w:b/>
          <w:color w:val="C00000"/>
          <w:sz w:val="28"/>
        </w:rPr>
        <w:t>“赚更多”</w:t>
      </w:r>
      <w:r>
        <w:rPr>
          <w:rFonts w:ascii="宋体" w:hAnsi="宋体" w:eastAsia="宋体"/>
          <w:color w:val="595959"/>
          <w:sz w:val="28"/>
        </w:rPr>
        <w:t xml:space="preserve">  →  </w:t>
      </w:r>
      <w:r>
        <w:rPr>
          <w:rFonts w:ascii="宋体" w:hAnsi="宋体" w:eastAsia="宋体"/>
          <w:b/>
          <w:color w:val="2E7D32"/>
          <w:sz w:val="28"/>
        </w:rPr>
        <w:t>“花更少”</w:t>
      </w:r>
      <w:r>
        <w:rPr>
          <w:rFonts w:ascii="宋体" w:hAnsi="宋体" w:eastAsia="宋体"/>
          <w:color w:val="595959"/>
          <w:sz w:val="28"/>
        </w:rPr>
        <w:t xml:space="preserve">  的思维升级</w:t>
      </w:r>
    </w:p>
    <w:p>
      <w:pPr>
        <w:spacing w:before="80"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维度</w:t>
            </w:r>
          </w:p>
        </w:tc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❌ 传统思维</w:t>
            </w:r>
          </w:p>
        </w:tc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✅ FIRE思维</w:t>
            </w:r>
          </w:p>
        </w:tc>
      </w:tr>
      <w:tr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目标</w:t>
            </w:r>
          </w:p>
        </w:tc>
        <w:tc>
          <w:tcPr>
            <w:tcW w:type="dxa" w:w="3009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积累1000万/1亿</w:t>
            </w:r>
          </w:p>
        </w:tc>
        <w:tc>
          <w:tcPr>
            <w:tcW w:type="dxa" w:w="3009"/>
            <w:shd w:val="clear" w:color="auto" w:fill="F0FF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被动收入覆盖支出</w:t>
            </w:r>
          </w:p>
        </w:tc>
      </w:tr>
      <w:tr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路径</w:t>
            </w:r>
          </w:p>
        </w:tc>
        <w:tc>
          <w:tcPr>
            <w:tcW w:type="dxa" w:w="3009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拼命工作+高位投资</w:t>
            </w:r>
          </w:p>
        </w:tc>
        <w:tc>
          <w:tcPr>
            <w:tcW w:type="dxa" w:w="3009"/>
            <w:shd w:val="clear" w:color="auto" w:fill="F0FF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降低分母+稳定现金流</w:t>
            </w:r>
          </w:p>
        </w:tc>
      </w:tr>
      <w:tr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核心指标</w:t>
            </w:r>
          </w:p>
        </w:tc>
        <w:tc>
          <w:tcPr>
            <w:tcW w:type="dxa" w:w="3009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账户余额</w:t>
            </w:r>
          </w:p>
        </w:tc>
        <w:tc>
          <w:tcPr>
            <w:tcW w:type="dxa" w:w="3009"/>
            <w:shd w:val="clear" w:color="auto" w:fill="F0FF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收入/支出比率</w:t>
            </w:r>
          </w:p>
        </w:tc>
      </w:tr>
      <w:tr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自由度</w:t>
            </w:r>
          </w:p>
        </w:tc>
        <w:tc>
          <w:tcPr>
            <w:tcW w:type="dxa" w:w="3009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等我赚够了再说</w:t>
            </w:r>
          </w:p>
        </w:tc>
        <w:tc>
          <w:tcPr>
            <w:tcW w:type="dxa" w:w="3009"/>
            <w:shd w:val="clear" w:color="auto" w:fill="F0FF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今天就可以开始选择</w:t>
            </w:r>
          </w:p>
        </w:tc>
      </w:tr>
    </w:tbl>
    <w:p>
      <w:pPr>
        <w:spacing w:before="120" w:after="0"/>
      </w:pPr>
    </w:p>
    <w:p>
      <w:r>
        <w:br w:type="page"/>
      </w:r>
    </w:p>
    <w:p>
      <w:pPr>
        <w:spacing w:before="280" w:after="120"/>
        <w:jc w:val="left"/>
        <w:pBdr>
          <w:bottom w:val="single" w:sz="8" w:space="1" w:color="2E75B6"/>
        </w:pBdr>
      </w:pPr>
      <w:r>
        <w:rPr>
          <w:rFonts w:ascii="宋体" w:hAnsi="宋体" w:eastAsia="宋体"/>
          <w:b/>
          <w:color w:val="1F3864"/>
          <w:sz w:val="40"/>
        </w:rPr>
        <w:t>二、FIRE运动实践框架</w:t>
      </w:r>
    </w:p>
    <w:p>
      <w:pPr>
        <w:spacing w:before="200" w:after="100"/>
        <w:jc w:val="left"/>
      </w:pPr>
      <w:r>
        <w:rPr>
          <w:rFonts w:ascii="宋体" w:hAnsi="宋体" w:eastAsia="宋体"/>
          <w:b/>
          <w:color w:val="2E75B6"/>
          <w:sz w:val="32"/>
        </w:rPr>
        <w:t>▌ 核心公式</w:t>
      </w:r>
    </w:p>
    <w:p>
      <w:pPr>
        <w:spacing w:before="80" w:after="40"/>
      </w:pPr>
    </w:p>
    <w:p>
      <w:pPr>
        <w:spacing w:before="120" w:after="120"/>
        <w:jc w:val="center"/>
        <w:shd w:val="clear" w:color="auto" w:fill="EBF3FB"/>
      </w:pPr>
      <w:r>
        <w:rPr>
          <w:rFonts w:ascii="宋体" w:hAnsi="宋体" w:eastAsia="宋体"/>
          <w:b/>
          <w:color w:val="1F3864"/>
          <w:sz w:val="34"/>
        </w:rPr>
        <w:t>所需本金 = 年度开支 ÷ 4%</w:t>
      </w:r>
    </w:p>
    <w:p>
      <w:pPr>
        <w:spacing w:before="40" w:after="120"/>
        <w:jc w:val="center"/>
      </w:pPr>
      <w:r>
        <w:rPr>
          <w:rFonts w:ascii="宋体" w:hAnsi="宋体" w:eastAsia="宋体"/>
          <w:color w:val="595959"/>
          <w:sz w:val="20"/>
        </w:rPr>
        <w:t>（即"4%规则"：每年从本金中提取不超过4%，可维持30年以上资金不枯竭）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要素</w:t>
            </w:r>
          </w:p>
        </w:tc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计算方式</w:t>
            </w:r>
          </w:p>
        </w:tc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示例数据</w:t>
            </w:r>
          </w:p>
        </w:tc>
      </w:tr>
      <w:tr>
        <w:tc>
          <w:tcPr>
            <w:tcW w:type="dxa" w:w="3009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安全提取率</w:t>
            </w:r>
          </w:p>
        </w:tc>
        <w:tc>
          <w:tcPr>
            <w:tcW w:type="dxa" w:w="3009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年度开支 × 25</w:t>
            </w:r>
          </w:p>
        </w:tc>
        <w:tc>
          <w:tcPr>
            <w:tcW w:type="dxa" w:w="3009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月支出1万 → 需300万本金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4%规则</w:t>
            </w:r>
          </w:p>
        </w:tc>
        <w:tc>
          <w:tcPr>
            <w:tcW w:type="dxa" w:w="300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1994年Bengen提出</w:t>
            </w:r>
          </w:p>
        </w:tc>
        <w:tc>
          <w:tcPr>
            <w:tcW w:type="dxa" w:w="300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300万 → 年提取12万</w:t>
            </w:r>
          </w:p>
        </w:tc>
      </w:tr>
      <w:tr>
        <w:tc>
          <w:tcPr>
            <w:tcW w:type="dxa" w:w="3009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成功概率</w:t>
            </w:r>
          </w:p>
        </w:tc>
        <w:tc>
          <w:tcPr>
            <w:tcW w:type="dxa" w:w="3009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Morningstar验证</w:t>
            </w:r>
          </w:p>
        </w:tc>
        <w:tc>
          <w:tcPr>
            <w:tcW w:type="dxa" w:w="3009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超90%概率维持30年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适用前提</w:t>
            </w:r>
          </w:p>
        </w:tc>
        <w:tc>
          <w:tcPr>
            <w:tcW w:type="dxa" w:w="300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全球化资产配置</w:t>
            </w:r>
          </w:p>
        </w:tc>
        <w:tc>
          <w:tcPr>
            <w:tcW w:type="dxa" w:w="300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指数基金+债券+黄金等分散</w:t>
            </w:r>
          </w:p>
        </w:tc>
      </w:tr>
    </w:tbl>
    <w:p>
      <w:pPr>
        <w:spacing w:before="120" w:after="80"/>
      </w:pPr>
    </w:p>
    <w:p>
      <w:pPr>
        <w:spacing w:before="120" w:after="120"/>
        <w:shd w:val="clear" w:color="auto" w:fill="FFF8E1"/>
      </w:pPr>
      <w:r>
        <w:rPr>
          <w:rFonts w:ascii="宋体" w:hAnsi="宋体" w:eastAsia="宋体"/>
          <w:color w:val="8B6914"/>
          <w:sz w:val="40"/>
        </w:rPr>
        <w:t>⚠️ 重要前提：4%规则基于美国市场历史数据，实际成功概率受市场周期、通胀水平、寿命预期等因素影响，需定期复盘调整。</w:t>
      </w:r>
    </w:p>
    <w:p>
      <w:r>
        <w:br w:type="page"/>
      </w:r>
    </w:p>
    <w:p>
      <w:pPr>
        <w:spacing w:before="280" w:after="120"/>
        <w:jc w:val="left"/>
        <w:pBdr>
          <w:bottom w:val="single" w:sz="8" w:space="1" w:color="2E75B6"/>
        </w:pBdr>
      </w:pPr>
      <w:r>
        <w:rPr>
          <w:rFonts w:ascii="宋体" w:hAnsi="宋体" w:eastAsia="宋体"/>
          <w:b/>
          <w:color w:val="1F3864"/>
          <w:sz w:val="40"/>
        </w:rPr>
        <w:t>三、财富积累的数学逻辑</w:t>
      </w:r>
    </w:p>
    <w:p>
      <w:pPr>
        <w:spacing w:before="200" w:after="100"/>
        <w:jc w:val="left"/>
      </w:pPr>
      <w:r>
        <w:rPr>
          <w:rFonts w:ascii="宋体" w:hAnsi="宋体" w:eastAsia="宋体"/>
          <w:b/>
          <w:color w:val="2E75B6"/>
          <w:sz w:val="32"/>
        </w:rPr>
        <w:t>▌ 复利模型（标普500历史数据）</w:t>
      </w:r>
    </w:p>
    <w:p>
      <w:pPr>
        <w:spacing w:before="60"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参数</w:t>
            </w:r>
          </w:p>
        </w:tc>
        <w:tc>
          <w:tcPr>
            <w:tcW w:type="dxa" w:w="4513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数值</w:t>
            </w:r>
          </w:p>
        </w:tc>
      </w:tr>
      <w:tr>
        <w:tc>
          <w:tcPr>
            <w:tcW w:type="dxa" w:w="4513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每月定投</w:t>
            </w:r>
          </w:p>
        </w:tc>
        <w:tc>
          <w:tcPr>
            <w:tcW w:type="dxa" w:w="4513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2C2C2C"/>
                <w:sz w:val="40"/>
              </w:rPr>
              <w:t>3,000 元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投资周期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2C2C2C"/>
                <w:sz w:val="40"/>
              </w:rPr>
              <w:t>25 年</w:t>
            </w:r>
          </w:p>
        </w:tc>
      </w:tr>
      <w:tr>
        <w:tc>
          <w:tcPr>
            <w:tcW w:type="dxa" w:w="4513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年化收益率</w:t>
            </w:r>
          </w:p>
        </w:tc>
        <w:tc>
          <w:tcPr>
            <w:tcW w:type="dxa" w:w="4513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2C2C2C"/>
                <w:sz w:val="40"/>
              </w:rPr>
              <w:t>10%</w:t>
            </w:r>
          </w:p>
        </w:tc>
      </w:tr>
      <w:tr>
        <w:tc>
          <w:tcPr>
            <w:tcW w:type="dxa" w:w="45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累计本金</w:t>
            </w:r>
          </w:p>
        </w:tc>
        <w:tc>
          <w:tcPr>
            <w:tcW w:type="dxa" w:w="4513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2C2C2C"/>
                <w:sz w:val="40"/>
              </w:rPr>
              <w:t>90 万元（3,000 × 12 × 25）</w:t>
            </w:r>
          </w:p>
        </w:tc>
      </w:tr>
      <w:tr>
        <w:tc>
          <w:tcPr>
            <w:tcW w:type="dxa" w:w="4513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复利收益</w:t>
            </w:r>
          </w:p>
        </w:tc>
        <w:tc>
          <w:tcPr>
            <w:tcW w:type="dxa" w:w="4513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2E7D32"/>
                <w:sz w:val="40"/>
              </w:rPr>
              <w:t>308 万元</w:t>
            </w:r>
          </w:p>
        </w:tc>
      </w:tr>
      <w:tr>
        <w:tc>
          <w:tcPr>
            <w:tcW w:type="dxa" w:w="4513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终值合计</w:t>
            </w:r>
          </w:p>
        </w:tc>
        <w:tc>
          <w:tcPr>
            <w:tcW w:type="dxa" w:w="4513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398 万元</w:t>
            </w:r>
          </w:p>
        </w:tc>
      </w:tr>
      <w:tr>
        <w:tc>
          <w:tcPr>
            <w:tcW w:type="dxa" w:w="4513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40"/>
              </w:rPr>
              <w:t>收益/本金倍数</w:t>
            </w:r>
          </w:p>
        </w:tc>
        <w:tc>
          <w:tcPr>
            <w:tcW w:type="dxa" w:w="4513"/>
            <w:shd w:val="clear" w:color="auto" w:fill="F5F9F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E7D32"/>
                <w:sz w:val="40"/>
              </w:rPr>
              <w:t>3.4 倍（复利威力）</w:t>
            </w:r>
          </w:p>
        </w:tc>
      </w:tr>
    </w:tbl>
    <w:p>
      <w:pPr>
        <w:spacing w:before="120" w:after="80"/>
      </w:pPr>
    </w:p>
    <w:p>
      <w:pPr>
        <w:spacing w:before="200" w:after="100"/>
        <w:jc w:val="left"/>
      </w:pPr>
      <w:r>
        <w:rPr>
          <w:rFonts w:ascii="宋体" w:hAnsi="宋体" w:eastAsia="宋体"/>
          <w:b/>
          <w:color w:val="2E75B6"/>
          <w:sz w:val="32"/>
        </w:rPr>
        <w:t>▌ 地理套利：降低生活成本</w:t>
      </w:r>
    </w:p>
    <w:p>
      <w:pPr>
        <w:spacing w:before="0" w:after="120"/>
        <w:jc w:val="left"/>
      </w:pPr>
      <w:r>
        <w:rPr>
          <w:rFonts w:ascii="宋体" w:hAnsi="宋体" w:eastAsia="宋体"/>
          <w:b w:val="0"/>
          <w:sz w:val="44"/>
        </w:rPr>
        <w:t>地理套利（Geographic Arbitrage）：利用不同城市间的生活成本差异，放大被动收入购买力。</w:t>
      </w:r>
    </w:p>
    <w:p>
      <w:pPr>
        <w:spacing w:before="60" w:after="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城市类型</w:t>
            </w:r>
          </w:p>
        </w:tc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月均生活支出</w:t>
            </w:r>
          </w:p>
        </w:tc>
        <w:tc>
          <w:tcPr>
            <w:tcW w:type="dxa" w:w="3009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所需本金（年支×25）</w:t>
            </w:r>
          </w:p>
        </w:tc>
      </w:tr>
      <w:tr>
        <w:tc>
          <w:tcPr>
            <w:tcW w:type="dxa" w:w="3009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一线城市（月入1万+）</w:t>
            </w:r>
          </w:p>
        </w:tc>
        <w:tc>
          <w:tcPr>
            <w:tcW w:type="dxa" w:w="3009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~10,000 元</w:t>
            </w:r>
          </w:p>
        </w:tc>
        <w:tc>
          <w:tcPr>
            <w:tcW w:type="dxa" w:w="3009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2C2C2C"/>
                <w:sz w:val="40"/>
              </w:rPr>
              <w:t>300 万</w:t>
            </w:r>
          </w:p>
        </w:tc>
      </w:tr>
      <w:tr>
        <w:tc>
          <w:tcPr>
            <w:tcW w:type="dxa" w:w="300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二三线城市</w:t>
            </w:r>
          </w:p>
        </w:tc>
        <w:tc>
          <w:tcPr>
            <w:tcW w:type="dxa" w:w="300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~5,000 元</w:t>
            </w:r>
          </w:p>
        </w:tc>
        <w:tc>
          <w:tcPr>
            <w:tcW w:type="dxa" w:w="3009"/>
            <w:shd w:val="clear" w:color="auto"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color w:val="2C2C2C"/>
                <w:sz w:val="40"/>
              </w:rPr>
              <w:t>150 万</w:t>
            </w:r>
          </w:p>
        </w:tc>
      </w:tr>
      <w:tr>
        <w:tc>
          <w:tcPr>
            <w:tcW w:type="dxa" w:w="3009"/>
            <w:shd w:val="clear" w:color="auto" w:fill="F0FF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大理 / 清迈 / 东南亚</w:t>
            </w:r>
          </w:p>
        </w:tc>
        <w:tc>
          <w:tcPr>
            <w:tcW w:type="dxa" w:w="3009"/>
            <w:shd w:val="clear" w:color="auto" w:fill="F0FF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~3,000 元</w:t>
            </w:r>
          </w:p>
        </w:tc>
        <w:tc>
          <w:tcPr>
            <w:tcW w:type="dxa" w:w="3009"/>
            <w:shd w:val="clear" w:color="auto" w:fill="F0FFF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2E7D32"/>
                <w:sz w:val="40"/>
              </w:rPr>
              <w:t>90 万</w:t>
            </w:r>
          </w:p>
        </w:tc>
      </w:tr>
    </w:tbl>
    <w:p>
      <w:r>
        <w:br w:type="page"/>
      </w:r>
    </w:p>
    <w:p>
      <w:pPr>
        <w:spacing w:before="280" w:after="120"/>
        <w:jc w:val="left"/>
        <w:pBdr>
          <w:bottom w:val="single" w:sz="8" w:space="1" w:color="2E75B6"/>
        </w:pBdr>
      </w:pPr>
      <w:r>
        <w:rPr>
          <w:rFonts w:ascii="宋体" w:hAnsi="宋体" w:eastAsia="宋体"/>
          <w:b/>
          <w:color w:val="1F3864"/>
          <w:sz w:val="40"/>
        </w:rPr>
        <w:t>四、生活方式设计</w:t>
      </w:r>
    </w:p>
    <w:p>
      <w:pPr>
        <w:spacing w:before="200" w:after="100"/>
        <w:jc w:val="left"/>
      </w:pPr>
      <w:r>
        <w:rPr>
          <w:rFonts w:ascii="宋体" w:hAnsi="宋体" w:eastAsia="宋体"/>
          <w:b/>
          <w:color w:val="2E75B6"/>
          <w:sz w:val="32"/>
        </w:rPr>
        <w:t>▌ 成本优化案例</w:t>
      </w:r>
    </w:p>
    <w:p>
      <w:pPr>
        <w:pStyle w:val="ListBullet"/>
        <w:spacing w:before="40" w:after="40"/>
      </w:pPr>
      <w:r>
        <w:rPr>
          <w:rFonts w:ascii="宋体" w:hAnsi="宋体" w:eastAsia="宋体"/>
          <w:sz w:val="44"/>
        </w:rPr>
        <w:t>北上广深 → 大理/清迈：生活成本降低 50% 以上，同时幸福感提升</w:t>
      </w:r>
    </w:p>
    <w:p>
      <w:pPr>
        <w:pStyle w:val="ListBullet"/>
        <w:spacing w:before="40" w:after="40"/>
      </w:pPr>
      <w:r>
        <w:rPr>
          <w:rFonts w:ascii="宋体" w:hAnsi="宋体" w:eastAsia="宋体"/>
          <w:sz w:val="44"/>
        </w:rPr>
        <w:t>极简生活：重新定义“足够好”的标准，减少物质焦虑</w:t>
      </w:r>
    </w:p>
    <w:p>
      <w:pPr>
        <w:pStyle w:val="ListBullet"/>
        <w:spacing w:before="40" w:after="40"/>
      </w:pPr>
      <w:r>
        <w:rPr>
          <w:rFonts w:ascii="宋体" w:hAnsi="宋体" w:eastAsia="宋体"/>
          <w:sz w:val="44"/>
        </w:rPr>
        <w:t>数字游民（Digital Nomad）：远程工作+低成本城市，效率与自由兼得</w:t>
      </w:r>
    </w:p>
    <w:p>
      <w:pPr>
        <w:spacing w:before="100" w:after="60"/>
      </w:pPr>
    </w:p>
    <w:p>
      <w:pPr>
        <w:spacing w:before="200" w:after="100"/>
        <w:jc w:val="left"/>
      </w:pPr>
      <w:r>
        <w:rPr>
          <w:rFonts w:ascii="宋体" w:hAnsi="宋体" w:eastAsia="宋体"/>
          <w:b/>
          <w:color w:val="2E75B6"/>
          <w:sz w:val="32"/>
        </w:rPr>
        <w:t>▌ 时间价值公式</w:t>
      </w:r>
    </w:p>
    <w:p>
      <w:pPr>
        <w:spacing w:before="60" w:after="40"/>
      </w:pPr>
    </w:p>
    <w:p>
      <w:pPr>
        <w:spacing w:before="120" w:after="120"/>
        <w:jc w:val="center"/>
        <w:shd w:val="clear" w:color="auto" w:fill="EBF3FB"/>
      </w:pPr>
      <w:r>
        <w:rPr>
          <w:rFonts w:ascii="宋体" w:hAnsi="宋体" w:eastAsia="宋体"/>
          <w:b/>
          <w:color w:val="1F3864"/>
          <w:sz w:val="30"/>
        </w:rPr>
        <w:t>30–60岁 黄金30年  &gt;  延迟满足的退休生活</w:t>
      </w:r>
    </w:p>
    <w:p>
      <w:pPr>
        <w:spacing w:before="0" w:after="120"/>
        <w:jc w:val="center"/>
      </w:pPr>
      <w:r>
        <w:rPr>
          <w:rFonts w:ascii="宋体" w:hAnsi="宋体" w:eastAsia="宋体"/>
          <w:b w:val="0"/>
          <w:color w:val="595959"/>
          <w:sz w:val="40"/>
        </w:rPr>
        <w:t>真正的FIRE不是"拼命存钱等退休"，而是在黄金年龄段就拥有时间自主权。</w:t>
      </w:r>
    </w:p>
    <w:p>
      <w:r>
        <w:br w:type="page"/>
      </w:r>
    </w:p>
    <w:p>
      <w:pPr>
        <w:spacing w:before="280" w:after="120"/>
        <w:jc w:val="left"/>
        <w:pBdr>
          <w:bottom w:val="single" w:sz="8" w:space="1" w:color="2E75B6"/>
        </w:pBdr>
      </w:pPr>
      <w:r>
        <w:rPr>
          <w:rFonts w:ascii="宋体" w:hAnsi="宋体" w:eastAsia="宋体"/>
          <w:b/>
          <w:color w:val="1F3864"/>
          <w:sz w:val="40"/>
        </w:rPr>
        <w:t>五、执行策略</w:t>
      </w:r>
    </w:p>
    <w:p>
      <w:pPr>
        <w:pStyle w:val="ListNumber"/>
        <w:spacing w:before="60" w:after="60"/>
      </w:pPr>
      <w:r>
        <w:rPr>
          <w:rFonts w:ascii="宋体" w:hAnsi="宋体" w:eastAsia="宋体"/>
          <w:sz w:val="44"/>
        </w:rPr>
        <w:t>启动条件：每月3,000元定投全球指数基金（分散配置，降低单一市场风险）</w:t>
      </w:r>
    </w:p>
    <w:p>
      <w:pPr>
        <w:spacing w:before="60" w:after="40"/>
      </w:pPr>
    </w:p>
    <w:p>
      <w:pPr>
        <w:pStyle w:val="ListNumber"/>
        <w:spacing w:before="60" w:after="60"/>
      </w:pPr>
      <w:r>
        <w:rPr>
          <w:rFonts w:ascii="宋体" w:hAnsi="宋体" w:eastAsia="宋体"/>
          <w:sz w:val="44"/>
        </w:rPr>
        <w:t>持续要素：保持10%年化收益预期，拒绝短期市场波动干扰，坚持长期主义</w:t>
      </w:r>
    </w:p>
    <w:p>
      <w:pPr>
        <w:spacing w:before="60" w:after="40"/>
      </w:pPr>
    </w:p>
    <w:p>
      <w:pPr>
        <w:pStyle w:val="ListNumber"/>
        <w:spacing w:before="60" w:after="60"/>
      </w:pPr>
      <w:r>
        <w:rPr>
          <w:rFonts w:ascii="宋体" w:hAnsi="宋体" w:eastAsia="宋体"/>
          <w:sz w:val="44"/>
        </w:rPr>
        <w:t>终极目标：账户余额 ≠ 成功标准，可自由选择每日行程才是核心指标</w:t>
      </w:r>
    </w:p>
    <w:p>
      <w:pPr>
        <w:spacing w:before="120" w:after="80"/>
      </w:pPr>
    </w:p>
    <w:p>
      <w:pPr>
        <w:spacing w:before="200" w:after="100"/>
        <w:jc w:val="left"/>
      </w:pPr>
      <w:r>
        <w:rPr>
          <w:rFonts w:ascii="宋体" w:hAnsi="宋体" w:eastAsia="宋体"/>
          <w:b/>
          <w:color w:val="2E75B6"/>
          <w:sz w:val="32"/>
        </w:rPr>
        <w:t>▌ 三大常见陷阱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陷阱</w:t>
            </w:r>
          </w:p>
        </w:tc>
        <w:tc>
          <w:tcPr>
            <w:tcW w:type="dxa" w:w="4513"/>
            <w:shd w:val="clear" w:color="auto" w:fill="D6E4F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1F3864"/>
                <w:sz w:val="40"/>
              </w:rPr>
              <w:t>说明</w:t>
            </w:r>
          </w:p>
        </w:tc>
      </w:tr>
      <w:tr>
        <w:tc>
          <w:tcPr>
            <w:tcW w:type="dxa" w:w="451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40"/>
              </w:rPr>
              <w:t>高收入高消费陷阱</w:t>
            </w:r>
          </w:p>
        </w:tc>
        <w:tc>
          <w:tcPr>
            <w:tcW w:type="dxa" w:w="451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收入涨了，消费也跟着涨，永远存不下本金</w:t>
            </w:r>
          </w:p>
        </w:tc>
      </w:tr>
      <w:tr>
        <w:tc>
          <w:tcPr>
            <w:tcW w:type="dxa" w:w="451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40"/>
              </w:rPr>
              <w:t>投资过度集中</w:t>
            </w:r>
          </w:p>
        </w:tc>
        <w:tc>
          <w:tcPr>
            <w:tcW w:type="dxa" w:w="451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ALL IN 单一个股或单一市场，黑天鹅事件导致归零</w:t>
            </w:r>
          </w:p>
        </w:tc>
      </w:tr>
      <w:tr>
        <w:tc>
          <w:tcPr>
            <w:tcW w:type="dxa" w:w="451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color w:val="C00000"/>
                <w:sz w:val="40"/>
              </w:rPr>
              <w:t>低估生活成本</w:t>
            </w:r>
          </w:p>
        </w:tc>
        <w:tc>
          <w:tcPr>
            <w:tcW w:type="dxa" w:w="4513"/>
            <w:shd w:val="clear" w:color="auto" w:fill="FFF5F5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40"/>
              </w:rPr>
              <w:t>医疗、子女、意外支出未纳入FIRE计算基础</w:t>
            </w:r>
          </w:p>
        </w:tc>
      </w:tr>
    </w:tbl>
    <w:p>
      <w:r>
        <w:br w:type="page"/>
      </w:r>
    </w:p>
    <w:p>
      <w:pPr>
        <w:spacing w:before="280" w:after="120"/>
        <w:jc w:val="left"/>
        <w:pBdr>
          <w:bottom w:val="single" w:sz="8" w:space="1" w:color="2E75B6"/>
        </w:pBdr>
      </w:pPr>
      <w:r>
        <w:rPr>
          <w:rFonts w:ascii="宋体" w:hAnsi="宋体" w:eastAsia="宋体"/>
          <w:b/>
          <w:color w:val="1F3864"/>
          <w:sz w:val="40"/>
        </w:rPr>
        <w:t>结语：建立系统，而非追求数字</w:t>
      </w:r>
    </w:p>
    <w:p>
      <w:pPr>
        <w:spacing w:before="80" w:after="80"/>
      </w:pPr>
    </w:p>
    <w:p>
      <w:pPr>
        <w:spacing w:before="120" w:after="120"/>
        <w:jc w:val="center"/>
        <w:shd w:val="clear" w:color="auto" w:fill="EBF3FB"/>
      </w:pPr>
      <w:r>
        <w:rPr>
          <w:rFonts w:ascii="宋体" w:hAnsi="宋体" w:eastAsia="宋体"/>
          <w:b/>
          <w:color w:val="1F3864"/>
          <w:sz w:val="28"/>
        </w:rPr>
        <w:t>“收入 − 支出 &gt; 0”的可持续系统</w:t>
        <w:br/>
        <w:t>，而非追求账户里的绝对数字</w:t>
      </w:r>
    </w:p>
    <w:p>
      <w:pPr>
        <w:spacing w:before="120" w:after="80"/>
      </w:pPr>
    </w:p>
    <w:p>
      <w:pPr>
        <w:spacing w:before="120" w:after="120"/>
        <w:shd w:val="clear" w:color="auto" w:fill="FFF3CD"/>
      </w:pPr>
      <w:r>
        <w:rPr>
          <w:rFonts w:ascii="宋体" w:hAnsi="宋体" w:eastAsia="宋体"/>
          <w:color w:val="8B6914"/>
          <w:sz w:val="40"/>
        </w:rPr>
        <w:t>⚠️ 数据警示：所有案例数据均为假设（如25年398万），实际收益需根据市场调整。本文档仅供思维启发，不构成投资建议。投资有风险，决策需谨慎。</w:t>
      </w:r>
    </w:p>
    <w:p>
      <w:pPr>
        <w:spacing w:before="120" w:after="80"/>
      </w:pPr>
    </w:p>
    <w:p>
      <w:pPr>
        <w:spacing w:before="60"/>
        <w:jc w:val="right"/>
      </w:pPr>
      <w:r>
        <w:rPr>
          <w:rFonts w:ascii="宋体" w:hAnsi="宋体" w:eastAsia="宋体"/>
          <w:color w:val="595959"/>
          <w:sz w:val="18"/>
        </w:rPr>
        <w:t>整理日期：2026年4月22日  |  整理工具：QClaw AI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bottom w:val="single" w:sz="4" w:space="1" w:color="2E75B6"/>
      </w:pBdr>
    </w:pPr>
    <w:r>
      <w:rPr>
        <w:rFonts w:ascii="宋体" w:hAnsi="宋体" w:eastAsia="宋体"/>
        <w:color w:val="595959"/>
        <w:sz w:val="18"/>
      </w:rPr>
    </w:r>
    <w:r>
      <w:rPr>
        <w:rFonts w:ascii="宋体" w:hAnsi="宋体" w:eastAsia="宋体"/>
        <w:color w:val="595959"/>
        <w:sz w:val="18"/>
      </w:rPr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1" w:color="2E75B6"/>
      </w:pBdr>
    </w:pPr>
    <w:r>
      <w:rPr>
        <w:rFonts w:ascii="宋体" w:hAnsi="宋体" w:eastAsia="宋体"/>
        <w:color w:val="595959"/>
        <w:sz w:val="18"/>
      </w:rPr>
      <w:t>FIRE运动 · 财务自由实践指南    2026年4月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4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