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120" w:after="120"/>
        <w:jc w:val="center"/>
      </w:pPr>
      <w:r>
        <w:rPr>
          <w:rFonts w:ascii="黑体" w:hAnsi="黑体" w:eastAsia="黑体" w:cs="黑体"/>
          <w:b/>
          <w:sz w:val="40"/>
        </w:rPr>
        <w:t>关于联合组建省会城市</w:t>
      </w:r>
    </w:p>
    <w:p>
      <w:pPr>
        <w:spacing w:before="120" w:after="120"/>
        <w:jc w:val="center"/>
      </w:pPr>
      <w:r>
        <w:rPr>
          <w:rFonts w:ascii="黑体" w:hAnsi="黑体" w:eastAsia="黑体" w:cs="黑体"/>
          <w:b/>
          <w:sz w:val="36"/>
        </w:rPr>
        <w:t>低空经济平台公司的立项汇报方案</w:t>
      </w:r>
    </w:p>
    <w:p/>
    <w:p>
      <w:pPr>
        <w:jc w:val="center"/>
      </w:pPr>
      <w:r>
        <w:rPr>
          <w:rFonts w:ascii="宋体" w:hAnsi="宋体" w:eastAsia="宋体" w:cs="宋体"/>
          <w:b/>
          <w:sz w:val="24"/>
        </w:rPr>
        <w:t>（修订版 · 保密）</w:t>
      </w:r>
    </w:p>
    <w:p>
      <w:pPr>
        <w:jc w:val="center"/>
      </w:pPr>
      <w:r>
        <w:rPr>
          <w:rFonts w:ascii="宋体" w:hAnsi="宋体" w:eastAsia="宋体" w:cs="宋体"/>
          <w:b w:val="0"/>
          <w:sz w:val="24"/>
        </w:rPr>
        <w:t>2026年6月</w:t>
      </w:r>
    </w:p>
    <w:p>
      <w:r>
        <w:br w:type="page"/>
      </w:r>
    </w:p>
    <w:p>
      <w:pPr>
        <w:spacing w:before="360" w:after="120"/>
      </w:pPr>
      <w:r>
        <w:rPr>
          <w:rFonts w:ascii="黑体" w:hAnsi="黑体" w:eastAsia="黑体" w:cs="黑体"/>
          <w:b/>
          <w:sz w:val="30"/>
        </w:rPr>
        <w:t>项目摘要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项目定位：联合省会城市国有平台公司、产业资本方与核心技术企业，共同组建低空经济综合运营平台公司，承接市级低空智能网联系统（通信、感知、导航、算力）的投资、建设与长期运营。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合作架构：采用"国企控股（51%）+ 战略投资方（30%-35%）+ 核心技术方（14%-19%）"的三方协同治理模型，实现资质、资本、技术的深度绑定。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市场窗口：2026年国家发改委明确要求完善低空经济产业生态，各省会城市正从"观望跟随"转向"主动布局"。2035年低空经济规模预计突破3.5万亿元，城市级低空空管及安全管控系统建设与运营市场空间超500亿元。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核心优势：地方国企获取政策与场景资源，战略投资方提供资本与产业链整合能力，核心技术方输出自主可控的低空监管平台与反无系统。三方优势互补，形成"央企/通信巨头难以快速复制"的地方深度绑定壁垒。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盈利模式："短期建设交付（To G）+ 中期平台服务（To G/B）+ 长期数据变现（To B/C）"三层收入体系，预计第3年实现盈亏平衡。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投资预算与回报：首期投资约______万元（待尽调后明确）。预计第3年盈亏平衡、第5年营收规模______万元、内部收益率约______%。</w:t>
      </w:r>
    </w:p>
    <w:p>
      <w:r>
        <w:br w:type="page"/>
      </w:r>
    </w:p>
    <w:p>
      <w:pPr>
        <w:spacing w:before="360" w:after="120"/>
      </w:pPr>
      <w:r>
        <w:rPr>
          <w:rFonts w:ascii="黑体" w:hAnsi="黑体" w:eastAsia="黑体" w:cs="黑体"/>
          <w:b/>
          <w:sz w:val="30"/>
        </w:rPr>
        <w:t>一、行业研判：低空经济进入"新基建"战略窗口期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1.1 政策驱动持续加码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低空经济已上升为国家战略。2024年首次写入政府工作报告；2025年国务院印发《低空经济高质量发展指导意见》，明确六大重点任务；2026年国家发改委进一步要求完善低空经济产业生态，将低空智能网联系统纳入新型基础设施范畴。工信部与民航局联合成立低空经济司，统筹推进空域管理改革与标准体系建设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截至目前，全国已有超过30个省份将低空经济写入地方"十五五"规划，深圳、合肥、成都、长沙等城市率先颁布低空经济促进条例。各省会城市正处于从"观望跟随"到"主动布局"的关键转折期——这一窗口期预计在未来12-18个月内逐步收窄，率先完成布局的城市将形成显著的先发优势。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1.2 市场规模与增长驱动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据中国民航局、赛迪研究院等机构综合预测：2025年中国低空经济规模约6800亿元，2030年有望突破2万亿元，2035年达到3.5万亿元以上，年复合增长率约18%。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增长核心驱动来自三方面：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无人机保有量年增40%以上（截至2025年底注册无人机超200万架），城市空中交通管理需求急剧膨胀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物流配送、应急救援、城市治理三大场景率先规模化应用，创造可持续的运营收入来源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eVTOL（电动垂直起降飞行器）适航认证加速推进，预计2028-2030年启动商业载客运营，对城市级空域管理体系提出更高标准要求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低空空管及安全管控系统作为低空经济的"第一道防线"，对应城市级建设市场空间约300-500亿元，年运营服务市场空间约80-150亿元。该市场具有"先建先占、数据壁垒高、替换成本极高"的特征，属于典型的窗口期红利市场。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1.3 建设模式演进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行业正经历三重结构性转变：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投资主体：从"政府财政全额兜底"转向"国资引领+多元资本共建"，降低财政压力的同时引入市场化效率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建设理念：从"为建而建"的基础设施思维转向"为用而建"的场景驱动思维，以实际飞行需求倒推建设规模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运营模式：从"建完移交"的短期交付转向"投建运一体化"（DBFOM）的全生命周期服务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可参考的实践路径包括：合肥"国资领投+链主企业共建"模式、深圳"特区建发+大疆+中国电信"联合体模式、成都"交投集团+中航工业"合资模式。上述案例均验证了"地方国企平台+产业资本+核心技术方"三元架构在低空经济领域的可行性。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1.4 竞争格局与差异化定位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当前市场参与者可分为四类，各有短板：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国家队（中国电科、中国电子、航天科工等）：技术实力雄厚，但决策链条长、面向单个城市的定制化响应慢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设备商系（大疆、纵横股份、亿航等）：硬件优势突出，但缺乏城市级系统集成与运营能力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互联网平台（美团、顺丰等）：场景创新能力强，但聚焦自有业务闭环，不向外输出平台服务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地方国资平台：掌握场景资源和政策通道，但核心技术能力欠缺，独立建设成本过高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本项目的差异化定位：通过三方协同，兼具地方资源获取能力、市场化运营效率和核心技术自主可控三大优势，填补省会城市"既懂技术又懂运营的地方低空综合平台"这一市场空白。形成以城市低空数字底座为核心、多场景应用为触角的"平台型"商业模式。</w:t>
      </w:r>
    </w:p>
    <w:p>
      <w:r>
        <w:br w:type="page"/>
      </w:r>
    </w:p>
    <w:p>
      <w:pPr>
        <w:spacing w:before="360" w:after="120"/>
      </w:pPr>
      <w:r>
        <w:rPr>
          <w:rFonts w:ascii="黑体" w:hAnsi="黑体" w:eastAsia="黑体" w:cs="黑体"/>
          <w:b/>
          <w:sz w:val="30"/>
        </w:rPr>
        <w:t>二、合作架构设计：三方协同治理模型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建议采用"地方国企控股搭台 + 战略投资方资本与资源赋能 + 核心技术方技术兜底"的三方协同架构（参考混合所有制改革与联合体成熟经验），以有限责任公司形式注册，注册地设在目标省会城市。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2.1 股权结构与角色定位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地方国企（控股股东，建议持股51%）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定位：平台"链主"，统筹各方资源，把控战略方向与合规底线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核心职责：争取地方政府政策支持与空域资源协调；统筹公安、消防、应急、城管等公共场景需求归集；提供部分启动资金（含土地、机房等可实物出资）；确保项目公益属性与合规底线；牵头对接军民航监管部门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收益来源：控股分红 + 产业培育形成的国有资产增值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战略投资方（建议持股30%-35%）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定位：资本引擎与产业链整合者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核心职责：注入首期项目建设资本金；导入低空经济上下游产业资源（飞行器制造商、保险机构、数据应用商）；承担市场化运营管理职责，主导商业场景拓展；负责后续融资路径规划（产业基金、专项债、银行贷款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收益来源：按股比分红 + 产业链资源导入产生的协同收益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核心技术方（建议持股14%-19%）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定位：技术总负责方，平台核心竞争力来源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核心职责：低空飞行综合监管服务平台（USS/UTM）研发与持续迭代；反无人机系统部署与运维；AI多源数据融合算法开发；通信-感知-导航一体化网络方案设计；技术标准制定与专利布局；系统日常运维与安全保障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利益绑定：技术作价入股 + 优先获得长期（不低于5年）运维服务合同 + 联合创新实验室知识产权共享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2.2 公司治理设计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董事会：设5-7席。国企提名____席（含董事长），投资方提名____席，技术方提名____席。重大事项（超预算投资、对外担保、关联交易、股权变更、核心技术授权）需2/3以上董事表决通过。董事长由国企方出任，副董事长由投资方出任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经营管理层：总经理由战略投资方推荐（市场化选聘、董事会任命），技术副总经理由技术方推荐，财务总监由国企委派。管理层任期为3年，可连任。年度考核指标与经营业绩、平台运行指标双挂钩。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监事会：设3席，三方各提名1席。监事会主席由国企方推荐。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2.3 权责边界与协同保障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/>
          <w:sz w:val="24"/>
        </w:rPr>
        <w:t>● 国企（51%）：</w:t>
      </w:r>
      <w:r>
        <w:rPr>
          <w:rFonts w:ascii="宋体" w:hAnsi="宋体" w:eastAsia="宋体" w:cs="宋体"/>
          <w:b w:val="0"/>
          <w:sz w:val="24"/>
        </w:rPr>
        <w:t>把控战略方向、合规监管、公共需求兜底、空域资源协调、争取政府专项资金与政策支持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/>
          <w:sz w:val="24"/>
        </w:rPr>
        <w:t>● 投资方（30%-35%）：</w:t>
      </w:r>
      <w:r>
        <w:rPr>
          <w:rFonts w:ascii="宋体" w:hAnsi="宋体" w:eastAsia="宋体" w:cs="宋体"/>
          <w:b w:val="0"/>
          <w:sz w:val="24"/>
        </w:rPr>
        <w:t>市场化经营、商业场景拓展、投融资管理、产业链资源导入、品牌建设与推广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/>
          <w:sz w:val="24"/>
        </w:rPr>
        <w:t>● 技术方（14%-19%）：</w:t>
      </w:r>
      <w:r>
        <w:rPr>
          <w:rFonts w:ascii="宋体" w:hAnsi="宋体" w:eastAsia="宋体" w:cs="宋体"/>
          <w:b w:val="0"/>
          <w:sz w:val="24"/>
        </w:rPr>
        <w:t>核心技术研发与迭代、技术标准制定、系统集成与运维、数据安全保障、技术团队建设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协同保障机制：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月度三方联席会议制度（固定时间、固定议程、会议纪要存档）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技术方年度考核指标与平台可用率（≥99.5%）、故障响应时间（≤15分钟）、客户满意度（≥90分）挂钩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联合创新实验室：技术研发投入按股权比例分摊，知识产权按出资比例共享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争议解决：优先协商，协商未果提交合资公司注册地仲裁委员会</w:t>
      </w:r>
    </w:p>
    <w:p>
      <w:r>
        <w:br w:type="page"/>
      </w:r>
    </w:p>
    <w:p>
      <w:pPr>
        <w:spacing w:before="360" w:after="120"/>
      </w:pPr>
      <w:r>
        <w:rPr>
          <w:rFonts w:ascii="黑体" w:hAnsi="黑体" w:eastAsia="黑体" w:cs="黑体"/>
          <w:b/>
          <w:sz w:val="30"/>
        </w:rPr>
        <w:t>三、运营模式与盈利路径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建议采用"投建运一体化"（DBFOM：设计-建设-融资-运营-维护）模式，覆盖项目全生命周期，构建"短期建设交付 + 中期平台服务 + 长期数据变现"的三层复合盈利体系。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3.1 基础设施建设与交付（第1-2年，占总收入约45%）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收入类型：To G 一次性/分期收入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市级低空智能网联系统（含通信基站、感知雷达、导航增强站、边缘算力节点）的EPC总承包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无人机起降场/枢纽站建设（首批规划15-30个标准化站点）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市级低空运行监管中心（含大屏指挥系统、数据中心）软硬件一体化交付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收入预估：单城市首期建设合同金额约8000万-2亿元（视城市规模和覆盖范围），按工程进度节点分期结算。毛利率约15%-25%。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3.2 平台订阅与数据服务（第2年起，占比约35%）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收入类型：To G / To B 持续性收入（年费制）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"一网统飞"政务平台服务：整合公安、消防、城管、环保、农业等部门无人机需求，统一提供飞行计划审批、实时监视、应急调度服务。年服务费约300万-600万元/城市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通信/导航/监视（CNS）网络接入：向物流企业、文旅运营商、飞行培训机构收取CNS网络接入费与流量费。年收入约200万-500万元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低空数据产品：面向保险公司、城市规划部门、商业地产商，提供飞行热力图、空域使用分析报告、风险评估等数据产品。年收入约100万-300万元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3.3 商业化场景运营（第2-3年起，占比约15%-20%）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收入类型：To B / To C 增值收入（按次/按里程/按分成）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低空物流配送：联合第三方物流商开展城市即时配送、医疗物资运输，按单或按里程分成。年收入约300万-800万元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城市空中巡检：承接电网、油气管线、高速公路、桥梁的无人机自动巡检业务，按巡检里程收费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医疗应急救援：建设城市级无人机血液/器官/药品运输网络，与卫健委、医院签订年度服务合同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低空文旅体验：联合文旅集团开发空中观光航线，按人次收费，毛利率高（50%-60%）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3.4 生态衍生收益（第4年起，占比约5%-10%）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数据资产交易：运营3年后积累的低空飞行数据经脱敏评估后挂牌数据交易所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低空保险产品：联合险企推出无人机第三者责任险、机身险，渠道佣金分成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飞手培训认证：建设CAAC认证的无人机驾驶员培训基地，年培训能力500-1000人次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飞行器维保（MRO）：为城市内无人机提供定检、维修、改装服务，形成后市场收入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3.5 收入预测概览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年度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建设收入</w:t>
              <w:br/>
              <w:t>（万元）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平台服务</w:t>
              <w:br/>
              <w:t>（万元）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商业运营</w:t>
              <w:br/>
              <w:t>（万元）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合计</w:t>
              <w:br/>
              <w:t>（万元）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第1年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5000-8000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——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——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5000-8000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第2年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3000-5000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500-800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200-500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3700-6300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第3年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1000-2000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1000-1500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800-1500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2800-5000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第4年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500-1000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1500-2500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1500-2500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3500-6000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第5年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500-1000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2000-3000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2500-4000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5000-8000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5年累计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10000-17000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5000-7800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5000-8500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20000-31300</w:t>
            </w:r>
          </w:p>
        </w:tc>
      </w:tr>
    </w:tbl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注：以上为中等规模省会城市的简化测算模型，未含生态衍生收入；具体数据需经可研阶段结合城市规模、建设计划详细测算。</w:t>
      </w:r>
    </w:p>
    <w:p>
      <w:r>
        <w:br w:type="page"/>
      </w:r>
    </w:p>
    <w:p>
      <w:pPr>
        <w:spacing w:before="360" w:after="120"/>
      </w:pPr>
      <w:r>
        <w:rPr>
          <w:rFonts w:ascii="黑体" w:hAnsi="黑体" w:eastAsia="黑体" w:cs="黑体"/>
          <w:b/>
          <w:sz w:val="30"/>
        </w:rPr>
        <w:t>四、实施路径与里程碑计划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4.1 第一阶段：筹备与签约（M1-M3）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三方签署合作意向书（MOU），明确核心商业条款框架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组建联合筹备工作组（各派2-3名代表，设组长1名）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同步启动尽职调查（法律、财务、技术三线并行，预计4-6周）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完成《可行性研究报告》编制，组织专家评审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拟定合资公司章程、出资协议、议事规则等核心法律文件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4.2 第二阶段：公司设立与首批落地（M4-M8）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完成合资公司工商注册（注册资本金______万元按约定比例到位）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启动首批政务场景的"政府购买服务"合同签约（目标覆盖3-5个局委办）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低空综合监管平台 V1.0 开发启动，完成需求评审与技术方案评审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首批10-15个标准化起降场选址确认与用地审批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申报地方政府专项债或省级低空经济产业基金支持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4.3 第三阶段：建设交付与初期运营（M9-M18）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低空智能网联系统一期建成，覆盖核心城区50-80平方公里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监管平台 V1.0 正式上线运行，接入首批50架以上政务无人机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商业场景拓展：签约1-2家物流合作方，开通2条以上常态化航线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实现首批平台服务费收入（验收合规运营里程碑）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如需要，启动A轮融资引入产业资本或政府引导基金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4.4 第四阶段：规模化扩展（M19-M36）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低空智能网联系统二期扩展覆盖全市域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平台服务客户覆盖全部政务无人机与主要商业运营商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商业场景运营收入贡献超过总收入30%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启动低空数据资产评估与数据交易所挂牌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达到盈亏平衡点，验证商业模式可复制性，启动省会城市模式输出</w:t>
      </w:r>
    </w:p>
    <w:p>
      <w:r>
        <w:br w:type="page"/>
      </w:r>
    </w:p>
    <w:p>
      <w:pPr>
        <w:spacing w:before="360" w:after="120"/>
      </w:pPr>
      <w:r>
        <w:rPr>
          <w:rFonts w:ascii="黑体" w:hAnsi="黑体" w:eastAsia="黑体" w:cs="黑体"/>
          <w:b/>
          <w:sz w:val="30"/>
        </w:rPr>
        <w:t>五、关键风险识别与应对策略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以下按"风险等级（高/中/低）× 可控程度"两个维度，系统梳理七大核心风险及应对方案：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风险类别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等级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核心描述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应对策略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空域审批与</w:t>
              <w:br/>
              <w:t>合规风险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低空飞行高度依赖军民航</w:t>
              <w:br/>
              <w:t>部门空域批复，审批周期</w:t>
              <w:br/>
              <w:t>不确定；城市低空管理</w:t>
              <w:br/>
              <w:t>法规体系尚不完善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①国企牵头对接军民航，取得首批</w:t>
              <w:br/>
              <w:t>空域授权作为公司设立前置条件</w:t>
              <w:br/>
              <w:t>②聘请军方退役空管专家任顾问</w:t>
              <w:br/>
              <w:t>③系统率先完成与民航UOM平台的</w:t>
              <w:br/>
              <w:t>对接认证，以合规换信任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政企考核</w:t>
              <w:br/>
              <w:t>机制错配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国企考核侧重短期资产保值</w:t>
              <w:br/>
              <w:t>与利润增长，低空基建回报</w:t>
              <w:br/>
              <w:t>周期长达5-8年，存在</w:t>
              <w:br/>
              <w:t>根本性矛盾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①章程中明确"容错纠错机制"与</w:t>
              <w:br/>
              <w:t>5年中长期考核指标</w:t>
              <w:br/>
              <w:t>②引入超长期特别国债、专项债、</w:t>
              <w:br/>
              <w:t>产业基金等降低国企即期出资压力</w:t>
              <w:br/>
              <w:t>③首期政府购买服务合同（≥3年）</w:t>
              <w:br/>
              <w:t>作为保底收益安排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技术迭代</w:t>
              <w:br/>
              <w:t>与安全风险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低空监管技术迭代快，</w:t>
              <w:br/>
              <w:t>反无技术面临对抗性升级；</w:t>
              <w:br/>
              <w:t>系统安全漏洞可能导致</w:t>
              <w:br/>
              <w:t>飞行安全事故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①对标等保三级/涉密信息系统标准</w:t>
              <w:br/>
              <w:t>②采用密码学+区块链保障数据链路</w:t>
              <w:br/>
              <w:t>③年度研发投入不低于营收8%</w:t>
              <w:br/>
              <w:t>④购买网络安全保险与技术责任险</w:t>
              <w:br/>
              <w:t>⑤建立第三方年度安全审计制度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核心人才</w:t>
              <w:br/>
              <w:t>流失风险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低空经济复合型人才稀缺，</w:t>
              <w:br/>
              <w:t>核心技术成员被竞争对手</w:t>
              <w:br/>
              <w:t>高薪挖角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①关键人员签署竞业限制协议与</w:t>
              <w:br/>
              <w:t>最低服务年限条款（写入合资合同）</w:t>
              <w:br/>
              <w:t>②设立员工持股平台（预留10%-15%）</w:t>
              <w:br/>
              <w:t>③建立关键岗位双备份团队机制</w:t>
              <w:br/>
              <w:t>④建立有竞争力的薪酬+股权激励包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地方政策</w:t>
              <w:br/>
              <w:t>变动风险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地方主政领导更替可能</w:t>
              <w:br/>
              <w:t>影响项目推进力度</w:t>
              <w:br/>
              <w:t>与财政支持强度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①争取列入省级/市级"十五五"</w:t>
              <w:br/>
              <w:t>重大项目清单，形成制度性保障</w:t>
              <w:br/>
              <w:t>②与多部门（发改、交通、公安、</w:t>
              <w:br/>
              <w:t>应急）签署框架协议，多部门背书</w:t>
              <w:br/>
              <w:t>③通过国企控股固化政府合作关系，</w:t>
              <w:br/>
              <w:t>降低对单一领导的依赖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市场竞争</w:t>
              <w:br/>
              <w:t>加剧风险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通信运营商、互联网巨头</w:t>
              <w:br/>
              <w:t>携资本与技术优势进入，</w:t>
              <w:br/>
              <w:t>可能引发价格战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①以"政务场景先发优势"构建壁垒</w:t>
              <w:br/>
              <w:t>②城市级平台+数据资产形成网络效应</w:t>
              <w:br/>
              <w:t>③适当引入竞争性战投，提升抗风险</w:t>
              <w:br/>
              <w:t>能力</w:t>
              <w:br/>
              <w:t>④控制核心城市，避免战线过长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退出机制</w:t>
              <w:br/>
              <w:t>缺位风险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6"/>
              </w:rPr>
              <w:t>低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合作中止或一方退出时</w:t>
              <w:br/>
              <w:t>缺乏公平合理的股权转让</w:t>
              <w:br/>
              <w:t>与定价机制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6"/>
              </w:rPr>
              <w:t>①出资协议中明确退出场景（IPO、</w:t>
              <w:br/>
              <w:t>转让、清算）、估值方法与优先</w:t>
              <w:br/>
              <w:t>购买权</w:t>
              <w:br/>
              <w:t>②技术方退出：核心源代码托管或</w:t>
              <w:br/>
              <w:t>第三方保存作为保障</w:t>
              <w:br/>
              <w:t>③设定3年锁定期，期满后分阶段</w:t>
              <w:br/>
              <w:t>退出</w:t>
              <w:br/>
              <w:t>④引入独立第三方评估机构估值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黑体" w:hAnsi="黑体" w:eastAsia="黑体" w:cs="黑体"/>
          <w:b/>
          <w:sz w:val="30"/>
        </w:rPr>
        <w:t>六、下一步行动建议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6.1 近期（1个月内）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三方高层会晤：正式确认合作意向与核心条款框架，签署保密协议（NDA）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指定联络人：三方各指定1名对接人，建立筹备工作沟通群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信息交换：各方提供企业简介、资质文件、近三年审计报告、核心技术清单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6.2 中期（1-3个月）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联合尽调：委托第三方专业机构开展法律、财务、技术三维尽调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可研编制：委托专业机构编制《低空经济合资平台可行性研究报告》，明确投资规模、回报预期、风险量化分析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政府报批：由国企方牵头，正式向市级分管领导汇报，争取列入"十五五"重点项目库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场景盘点：联合目标城市发改、应急、公安等部门，梳理首批政务购买服务需求清单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6.3 远期（3-6个月）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合资协议签署：完成公司章程、出资协议、一票否决权条款等核心法律文件签署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资本金到位：各方按约定的时间表和比例完成注资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公司注册运营：完成工商登记，经营管理团队到位，首批政务场景合同签约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技术启动：低空综合监管平台 V1.0 进入正式开发阶段</w:t>
      </w:r>
    </w:p>
    <w:p>
      <w:r>
        <w:br w:type="page"/>
      </w:r>
    </w:p>
    <w:p>
      <w:pPr>
        <w:spacing w:before="360" w:after="120"/>
      </w:pPr>
      <w:r>
        <w:rPr>
          <w:rFonts w:ascii="黑体" w:hAnsi="黑体" w:eastAsia="黑体" w:cs="黑体"/>
          <w:b/>
          <w:sz w:val="30"/>
        </w:rPr>
        <w:t>附录：各合作方需提供的资料清单</w:t>
      </w:r>
    </w:p>
    <w:p>
      <w:pPr>
        <w:spacing w:before="40" w:after="40"/>
        <w:ind w:firstLine="420"/>
      </w:pPr>
      <w:r>
        <w:rPr>
          <w:rFonts w:ascii="宋体" w:hAnsi="宋体" w:eastAsia="宋体" w:cs="宋体"/>
          <w:b w:val="0"/>
          <w:sz w:val="24"/>
        </w:rPr>
        <w:t>以下材料为可研阶段尽调所需核心文件，请各方在尽调正式启动前准备完毕：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一、地方国企方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近三年经审计的财务报告及最近一期财务报表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企业信用评级报告、银行授信额度证明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可供出资的土地使用权/房产/设施清单及第三方估值报告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与市级政府各部门现有合作项目清单及合同金额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空域资源协调渠道说明及历史审批案例（如有）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现有信息化基础设施（数据中心、通信网络）情况说明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二、战略投资方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近三年经审计的财务报告、资金来源合法性说明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低空经济或相关产业已投项目清单（含投资金额、持股比例、运营状态）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可导入合资平台的产业链上下游资源列表及合作协议（如有）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拟派驻合资公司的管理团队简历（总经理、运营总监、市场总监）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后续融资能力证明（与银行/基金的合作记录或意向函）</w:t>
      </w:r>
    </w:p>
    <w:p>
      <w:pPr>
        <w:spacing w:before="240" w:after="80"/>
      </w:pPr>
      <w:r>
        <w:rPr>
          <w:rFonts w:ascii="黑体" w:hAnsi="黑体" w:eastAsia="黑体" w:cs="黑体"/>
          <w:b/>
          <w:sz w:val="26"/>
        </w:rPr>
        <w:t>三、核心技术方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核心产品（低空监管平台/反无人机系统）技术白皮书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已取得的技术资质：软件著作权清单、发明专利清单、等保认证证书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已完成或在建的低空经济相关项目案例（含合同金额、上线时间、运行状态）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核心技术团队简历（含学历、从业经历、代表作）及竞业限制情况说明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技术作价入股的评估依据或第三方知识产权评估报告（如有）</w:t>
      </w:r>
    </w:p>
    <w:p>
      <w:pPr>
        <w:spacing w:before="20" w:after="20"/>
        <w:ind w:left="420"/>
      </w:pPr>
      <w:r>
        <w:rPr>
          <w:rFonts w:ascii="宋体" w:hAnsi="宋体" w:eastAsia="宋体" w:cs="宋体"/>
          <w:b w:val="0"/>
          <w:sz w:val="24"/>
        </w:rPr>
        <w:t>● 核心技术的自主可控性说明（开源依赖、外部授权情况）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