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28"/>
        </w:rPr>
        <w:t>Hermes+GDWPMA-AI 政府债务全过程管理智能体系统</w:t>
      </w:r>
    </w:p>
    <w:p>
      <w:r>
        <w:rPr>
          <w:rFonts w:ascii="Times New Roman" w:hAnsi="Times New Roman" w:eastAsia="黑体"/>
          <w:b/>
          <w:sz w:val="24"/>
        </w:rPr>
        <w:t>功能与性能介绍（投标文件技术部分 · 节选）</w:t>
      </w:r>
    </w:p>
    <w:p>
      <w:r>
        <w:rPr>
          <w:rFonts w:ascii="Times New Roman" w:hAnsi="Times New Roman" w:eastAsia="黑体"/>
          <w:b/>
          <w:sz w:val="24"/>
        </w:rPr>
        <w:t>一、系统定位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Hermes+GDWPMA-AI 是面向政府债务"借、用、管、还"全生命周期的人工智能体系统，由 Hermes 智能体运行时（会话驱动、算力调度、技能路由）与 GDWPMA-AI 功能系统（法规库、项目库、四环节规则审核、问题台账、培训辅导、底稿归档）构成。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系统对标财政部门"政府债券项目库建设、发行、使用、审核及项目建成后运营管理"的全过程服务要求：分县市形成审核报告、建立审核问题台账、通过业务培训反馈问题、接受整改过程咨询与整改结果二次复核；项目按档管理，全过程留底稿，项目结束立卷归档。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与传统管理信息系统的本质区别：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传统系统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Hermes+GDWPMA-AI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数据角色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人工填报、人工审核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规则引擎自动审核，56 条规则全环节扫描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审核依据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散见个人经验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结构化规则库：每条规则绑定法规条款+证据材料+审计实证来源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AI 位置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无或噱头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双轨制——判定走规则引擎（可解释、可复核、可对抗），LLM 仅做问答与点评（辅助层）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交付物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报表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MD+DOCX+PDF 审核报告、问题台账、整改状态机、立卷归档件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服务方式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登录系统点选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自然语言口令驱动（"对XX项目做申报审核"）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二、功能清单（8 大模块）</w:t>
      </w:r>
    </w:p>
    <w:p>
      <w:r>
        <w:rPr>
          <w:rFonts w:ascii="Times New Roman" w:hAnsi="Times New Roman" w:eastAsia="黑体"/>
          <w:b/>
          <w:sz w:val="24"/>
        </w:rPr>
        <w:t>2.1 政府债务法规库（国家/省/市县三级）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三级分类：国家 16 部（预算法、国发〔2014〕43号、国办发〔2024〕52号、财预154/155/61/110/175号、财库〔2020〕36号、信息公开办法、限额分配办法、会计处理暂行规定、土储债通知、配套融资通知、应急处置预案等）、省级 6 部、市县级 2 部，共 24 部真实文号法规全文要点入库。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全文检索：SQLite FTS5 + 中文逐字切分索引，命中片段高亮、按层级过滤、版本状态（现行有效/废止）标记。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持续更新：法规文件以 Markdown+frontmatter 落盘，新增文件即插即入，季度巡检对齐最新政策。</w:t>
      </w:r>
    </w:p>
    <w:p>
      <w:r>
        <w:rPr>
          <w:rFonts w:ascii="Times New Roman" w:hAnsi="Times New Roman" w:eastAsia="黑体"/>
          <w:b/>
          <w:sz w:val="24"/>
        </w:rPr>
        <w:t>2.2 项目库建设管理（借）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全生命周期台账：县市、类别、总投资、申请债券额、期限利率、年均收入、剩余额度、状态。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必备材料核对矩阵：一案两书（实施方案/融资平衡方案/财务评估报告/法律意见书）+ 前期要件（可研批复/初设批复/用地预审/环评）逐项打勾。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材料电子化：PDF 文本层自动抽取（pymupdf），扫描件离线 OCR（RapidOCR），文本入库支撑后续审核。</w:t>
      </w:r>
    </w:p>
    <w:p>
      <w:r>
        <w:rPr>
          <w:rFonts w:ascii="Times New Roman" w:hAnsi="Times New Roman" w:eastAsia="黑体"/>
          <w:b/>
          <w:sz w:val="24"/>
        </w:rPr>
        <w:t>2.3 四环节规则审核（系统内核，56 条规则）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规则即数据（YAML），每条绑定：依据条款、检查逻辑、P0/P1/P2 级别、证据材料、审计署实证来源。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规则数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覆盖要点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借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投向负面清单、项目三性、收益覆盖倍数（≥1.2 否决）、前期要件、一案两书、收入来源三性、资本金比例、审批链条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发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额度与预算程序、信息披露时限、评级有效性、专户管理、发行超规模、期限结构、备付金制度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挪用/挤占截留、资金闲置超期、超进度拨付、用途调整程序、收支两条线、账务处理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还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收入收缴、收益挪用、备付金不足、到期偿付风险、资产登记、违规抵押、虚假化债迹象</w:t>
            </w:r>
          </w:p>
        </w:tc>
      </w:tr>
    </w:tbl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规则来源三重背书：国办发〔2024〕52号等现行法规 + 专项债律师审查清单 + 审计署 2023-2025 年度报告披露的真实违规模式（虚报收益包装 121.74 亿、挪用 93.17 亿、闲置 158.66 亿等逐条映射）。</w:t>
      </w:r>
    </w:p>
    <w:p>
      <w:r>
        <w:rPr>
          <w:rFonts w:ascii="Times New Roman" w:hAnsi="Times New Roman" w:eastAsia="黑体"/>
          <w:b/>
          <w:sz w:val="24"/>
        </w:rPr>
        <w:t>2.4 发行管理审核（发）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额度程序、市场化定价、集合发行明细、再融资用途、在建续发绿色通道条件、重大变更重审。</w:t>
      </w:r>
    </w:p>
    <w:p>
      <w:r>
        <w:rPr>
          <w:rFonts w:ascii="Times New Roman" w:hAnsi="Times New Roman" w:eastAsia="黑体"/>
          <w:b/>
          <w:sz w:val="24"/>
        </w:rPr>
        <w:t>2.5 使用过程管理与审核（用）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专户流水核查要点、支付进度与实物工作量匹配、用途调整合规指引（财预〔2021〕110号）、处理处罚机制衔接（财预〔2021〕175号）。</w:t>
      </w:r>
    </w:p>
    <w:p>
      <w:r>
        <w:rPr>
          <w:rFonts w:ascii="Times New Roman" w:hAnsi="Times New Roman" w:eastAsia="黑体"/>
          <w:b/>
          <w:sz w:val="24"/>
        </w:rPr>
        <w:t>2.6 分县市审核报告与问题台账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报告：一键生成 MD+DOCX+PDF 三格式，公文版式（黑体标题/仿宋正文/表格/页码域），含项目概况、审核依据、分级问题清单、结论（P0 不予通过/P1 限期补正/通过）、逐条整改要求。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台账：分县市问题分布、按状态筛选、五态整改状态机（待整改→整改中→待复核→已闭环/已退回），每条问题强制携带依据条款与证据指向——AI 不编造证据，结论可溯源。</w:t>
      </w:r>
    </w:p>
    <w:p>
      <w:r>
        <w:rPr>
          <w:rFonts w:ascii="Times New Roman" w:hAnsi="Times New Roman" w:eastAsia="黑体"/>
          <w:b/>
          <w:sz w:val="24"/>
        </w:rPr>
        <w:t>2.7 整改闭环与二次复核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被审单位按台账提交整改计划（含期限）→ 提交整改结果 → 审核方二次复核（通过闭环/退回重改），复核记录全程留痕。整改过程可随时以自然语言咨询法规（RAG 问答，超纲诚实拒答）。</w:t>
      </w:r>
    </w:p>
    <w:p>
      <w:r>
        <w:rPr>
          <w:rFonts w:ascii="Times New Roman" w:hAnsi="Times New Roman" w:eastAsia="黑体"/>
          <w:b/>
          <w:sz w:val="24"/>
        </w:rPr>
        <w:t>2.8 培训辅导与底稿归档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培训：高频问题 TOP 榜由问题台账自动聚合生成；案例警示库（审计署实证 7 大模式）；GLM-5.3-flash 法规问答。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归档：每个管理动作（建档/材料/审核/报告/整改/复核/还本付息）自动写入底稿流水；项目结束一键立卷，底稿+报告+附件打包生成卷内目录。</w:t>
      </w:r>
    </w:p>
    <w:p>
      <w:r>
        <w:rPr>
          <w:rFonts w:ascii="Times New Roman" w:hAnsi="Times New Roman" w:eastAsia="黑体"/>
          <w:b/>
          <w:sz w:val="24"/>
        </w:rPr>
        <w:t>三、AI 能力与算力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能力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实现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边界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法规问答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GLM-5.3-flash × 法规库 RAG（检索增强生成），回答强制标注依据文件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超纲问题诚实拒答，不编造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审核点评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审核结果页一键 AI 点评：优先整改项+风险提示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明示"辅助层，判定以规则引擎与人工为准"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审核判定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规则引擎，非 LLM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可解释、可复核、可对抗，责任可归属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降级机制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LLM 不可用时问答自动降级为法规库原文检索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服务不中断</w:t>
            </w:r>
          </w:p>
        </w:tc>
      </w:tr>
    </w:tbl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算力与 Hermes 同源（GLM-5.3-flash），凭据集中管理不落日志。</w:t>
      </w:r>
    </w:p>
    <w:p>
      <w:r>
        <w:rPr>
          <w:rFonts w:ascii="Times New Roman" w:hAnsi="Times New Roman" w:eastAsia="黑体"/>
          <w:b/>
          <w:sz w:val="24"/>
        </w:rPr>
        <w:t>四、性能实测数据（生产同配置单机实测）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实测值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登录响应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14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总览页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法规全文检索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 部法规库内关键词命中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项目库/台账/归档页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 / 19 / 9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四环节规则审核（56 条全扫）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52–92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含底稿写入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审核报告生成（MD+DOCX）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151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PDF 转换另计（Word COM，秒级）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并发 10 请求均值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140 ms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Flask 线程池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GLM 法规问答（RAG）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17.7 s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受大模型推理+网络影响，单列不计入系统响应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单测/端到端验证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 项单测 + 28 步 E2E 全流程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每次变更全量回归</w:t>
            </w:r>
          </w:p>
        </w:tc>
      </w:tr>
    </w:tbl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&gt; 测试环境：Windows 11 / Python 3.12 / SQLite WAL；数据规模：24 部法规、56 条规则、10+ 项目全流程数据。</w:t>
      </w:r>
    </w:p>
    <w:p>
      <w:r>
        <w:rPr>
          <w:rFonts w:ascii="Times New Roman" w:hAnsi="Times New Roman" w:eastAsia="黑体"/>
          <w:b/>
          <w:sz w:val="24"/>
        </w:rPr>
        <w:t>五、安全设计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认证：全页面+API 登录保护（302 重定向实测），PBKDF2-SHA256 加盐哈希存证，明文不落库不落日志。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授权：管理员/审核员两级角色；用户增删、密码重置仅管理员；本人改密独立通道。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输入边界：上传扩展名白名单、secure_filename 清洗、报告文件名净化、PDF 转换目录白名单（防本地任意文件访问）。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SQL 注入：全部参数化查询（实测扫描 0 处拼接）。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数据本地化：SQLite 单文件库，业务数据不出本机，符合政务数据敏感级要求。</w:t>
      </w:r>
    </w:p>
    <w:p>
      <w:r>
        <w:rPr>
          <w:rFonts w:ascii="Times New Roman" w:hAnsi="Times New Roman" w:eastAsia="黑体"/>
          <w:b/>
          <w:sz w:val="24"/>
        </w:rPr>
        <w:t>六、质量保障体系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四层递进审计：L1 脚本先行（零推理成本）→ L2 单 Agent 内联脚本审计 → L3 冲突时投票 → L4 干净上下文独立监督评审。本次交付经 L4 外部视角评审，3 项 P0 级发现全部修复并回归。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测试资产：6 项单元测试（独立临时库）+ 28 步 HTTP 全流程 E2E（登录→建档→材料→四环节审核→报告→整改闭环→复核→归档→检索），步数硬断言防漂移。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版本管理：GitHub 全量托管（github.com/13925554689/gdwpma-agent），推送后远端哈希双向核验。</w:t>
      </w:r>
    </w:p>
    <w:p>
      <w:r>
        <w:rPr>
          <w:rFonts w:ascii="Times New Roman" w:hAnsi="Times New Roman" w:eastAsia="黑体"/>
          <w:b/>
          <w:sz w:val="24"/>
        </w:rPr>
        <w:t>七、交付清单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项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功能系统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GDWPMA-AI 全源码（Flask+SQLite，10 模板/8 表/56 规则/24 法规）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智能体技能包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gdwpma-agent（Hermes 技能路由+运维手册+已知陷阱清单）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操作口令手册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按借用管还五类 20+ 条自然语言口令及映射表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测试资产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pytest 单测 + 28 步 E2E 脚本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文档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README、开发方案、口令手册、本介绍</w:t>
            </w:r>
          </w:p>
        </w:tc>
      </w:tr>
    </w:tbl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*本节数据均为交付环境实测，测试脚本随源码交付可复现。*</w:t>
      </w:r>
    </w:p>
    <w:sectPr w:rsidR="00FC693F" w:rsidRPr="0006063C" w:rsidSect="00034616">
      <w:foot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  <w:r>
      <w:rPr>
        <w:rFonts w:ascii="Times New Roman" w:hAnsi="Times New Roman" w:eastAsia="仿宋"/>
        <w:b w:val="0"/>
        <w:sz w:val="18"/>
      </w:rPr>
      <w:t>第</w:t>
    </w:r>
    <w:fldSimple w:instr="NUMPAGES">
      <w:r>
        <w:t>1</w:t>
      </w:r>
    </w:fldSimple>
    <w:r>
      <w:rPr>
        <w:rFonts w:ascii="Times New Roman" w:hAnsi="Times New Roman" w:eastAsia="仿宋"/>
        <w:b w:val="0"/>
        <w:sz w:val="18"/>
      </w:rPr>
      <w:t>页 共</w:t>
    </w:r>
    <w:r>
      <w:rPr>
        <w:rFonts w:ascii="Times New Roman" w:hAnsi="Times New Roman" w:eastAsia="仿宋"/>
        <w:b w:val="0"/>
        <w:sz w:val="18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