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28"/>
        </w:rPr>
        <w:t>GDWPMA-AI 操作口令手册（Hermes+GDWPMA-AI 功能系统）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&gt; 口令=对 Hermes 会话说的一句话。Hermes 自动路由到 gdwpma-agent 技能包执行。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&gt; 口令按"借、用、管、还"业务四环节 + 系统运维五类组织，全部经实测。</w:t>
      </w:r>
    </w:p>
    <w:p>
      <w:r>
        <w:rPr>
          <w:rFonts w:ascii="Times New Roman" w:hAnsi="Times New Roman" w:eastAsia="黑体"/>
          <w:b/>
          <w:sz w:val="24"/>
        </w:rPr>
        <w:t>一、系统运维口令（启停/验证/排障）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启动政府债系统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`py app.py` 前台起服（端口 5210），或 `start-gdwpma.vbs` 静默启动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VBS 双击等效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停政府债系统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netstat 定位 5210 监听 PID → `taskkill /F /T`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必杀 python 子进程，杀 py 启动器留僵尸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政府债系统体检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pytest 6 项 + E2E 28 步 + 页面巡检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全绿才算过</w:t>
            </w:r>
          </w:p>
        </w:tc>
      </w:tr>
      <w:tr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政府债系统全面审计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四层审计（L1脚本→L2内联→L3投票→L4干净上下文监督）</w:t>
            </w:r>
          </w:p>
        </w:tc>
        <w:tc>
          <w:tcPr>
            <w:tcW w:type="dxa" w:w="287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每季度或大版本后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二、借（项目库建设与申报审核）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给XX县建一个项目：名称/类别/投资/申请额/收入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`/api/projects` 建档 + 底稿留痕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登记XX项目的可研批复/环评/一案两书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`/api/docs` 材料登记（PDF 自动抽文本，扫描件可 OCR）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对XX项目做申报审核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借环节 20 条规则扫描（负面清单/三性/覆盖倍数/要件/一案两书…）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出XX项目的审核报告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MD+DOCX+PDF 三格式，含 P0/P1/P2 分级结论与整改要求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三、发（发行管理）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对XX项目做发行审核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动作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发环节 14 条规则：额度与预算程序、信息披露 5 个工作日、评级报告有效性、专户管理、发行超规模、备付金制度…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四、用（资金使用监管）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对XX项目做使用审核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动作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用环节 12 条规则：挪用/挤占截留、资金闲置超期、超进度拨付、支付流程、用途调整程序、账务处理…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五、还（收入归集与偿还）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对XX项目做偿还审核 / 登记还本付息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动作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还环节 10 条规则：收入未及时收缴、收益挪用、备付金不足、到期偿付风险、资产未登记、虚假化债迹象…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六、管（问题台账·整改·培训·归档）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口令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看XX县的问题台账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按县市/状态筛选，分县市分布统计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XX问题提交整改计划/结果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状态机：待整改→整改中→待复核→已闭环/已退回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对XX问题二次复核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复核通过闭环 / 退回重改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出本月培训要点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高频问题 TOP 自动聚合（台账统计）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问法规：…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GLM-5.3-flash × 24部法规 RAG 问答（超纲诚实拒答）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XX项目立卷归档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全过程底稿+报告+附件打包，生成卷内目录</w:t>
            </w:r>
          </w:p>
        </w:tc>
      </w:tr>
    </w:tbl>
    <w:p>
      <w:r>
        <w:rPr>
          <w:rFonts w:ascii="Times New Roman" w:hAnsi="Times New Roman" w:eastAsia="黑体"/>
          <w:b/>
          <w:sz w:val="24"/>
        </w:rPr>
        <w:t>口令设计原则（为什么这样设）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1. 按业务环节命名，不按技术路由命名——财政干部说"做申报审核"，不说"调 /api/review/run"。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2. 每条口令有唯一落点（一个 API/一个流程），无歧义可自动路由；Hermes 靠 gdwpma-agent 技能包里的映射表路由。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3. 审核类口令一律触发"规则引擎→报告→台账"全链路，而不是单点查询——与"全过程留底稿"的业务要求一致。</w:t>
      </w:r>
    </w:p>
    <w:p>
      <w:pPr>
        <w:spacing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4. 危险动作（删除用户、重置密码）口令中显式带对象，且仅管理员角色生效（系统强制，非口令约定）。</w:t>
      </w:r>
    </w:p>
    <w:sectPr w:rsidR="00FC693F" w:rsidRPr="0006063C" w:rsidSect="00034616"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  <w:r>
      <w:rPr>
        <w:rFonts w:ascii="Times New Roman" w:hAnsi="Times New Roman" w:eastAsia="仿宋"/>
        <w:b w:val="0"/>
        <w:sz w:val="18"/>
      </w:rPr>
      <w:t>第</w:t>
    </w:r>
    <w:fldSimple w:instr="NUMPAGES">
      <w:r>
        <w:t>1</w:t>
      </w:r>
    </w:fldSimple>
    <w:r>
      <w:rPr>
        <w:rFonts w:ascii="Times New Roman" w:hAnsi="Times New Roman" w:eastAsia="仿宋"/>
        <w:b w:val="0"/>
        <w:sz w:val="18"/>
      </w:rPr>
      <w:t>页 共</w:t>
    </w:r>
    <w:r>
      <w:rPr>
        <w:rFonts w:ascii="Times New Roman" w:hAnsi="Times New Roman" w:eastAsia="仿宋"/>
        <w:b w:val="0"/>
        <w:sz w:val="18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