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1F2" w:rsidRPr="009011F2" w:rsidRDefault="009011F2" w:rsidP="009011F2">
      <w:pPr>
        <w:widowControl/>
        <w:pBdr>
          <w:top w:val="single" w:sz="6" w:space="10" w:color="E5E5E5"/>
        </w:pBdr>
        <w:spacing w:after="204" w:line="543" w:lineRule="atLeast"/>
        <w:jc w:val="left"/>
        <w:outlineLvl w:val="0"/>
        <w:rPr>
          <w:rFonts w:ascii="微软雅黑" w:eastAsia="微软雅黑" w:hAnsi="微软雅黑" w:cs="宋体"/>
          <w:b/>
          <w:bCs/>
          <w:color w:val="3F3F3F"/>
          <w:spacing w:val="-14"/>
          <w:kern w:val="36"/>
          <w:sz w:val="38"/>
          <w:szCs w:val="38"/>
        </w:rPr>
      </w:pPr>
      <w:r w:rsidRPr="009011F2">
        <w:rPr>
          <w:rFonts w:ascii="微软雅黑" w:eastAsia="微软雅黑" w:hAnsi="微软雅黑" w:cs="宋体" w:hint="eastAsia"/>
          <w:b/>
          <w:bCs/>
          <w:color w:val="3F3F3F"/>
          <w:spacing w:val="-14"/>
          <w:kern w:val="36"/>
          <w:sz w:val="38"/>
          <w:szCs w:val="38"/>
        </w:rPr>
        <w:t>美联储加息靴子落地 沪指</w:t>
      </w:r>
      <w:proofErr w:type="gramStart"/>
      <w:r w:rsidRPr="009011F2">
        <w:rPr>
          <w:rFonts w:ascii="微软雅黑" w:eastAsia="微软雅黑" w:hAnsi="微软雅黑" w:cs="宋体" w:hint="eastAsia"/>
          <w:b/>
          <w:bCs/>
          <w:color w:val="3F3F3F"/>
          <w:spacing w:val="-14"/>
          <w:kern w:val="36"/>
          <w:sz w:val="38"/>
          <w:szCs w:val="38"/>
        </w:rPr>
        <w:t>放量四</w:t>
      </w:r>
      <w:proofErr w:type="gramEnd"/>
      <w:r w:rsidRPr="009011F2">
        <w:rPr>
          <w:rFonts w:ascii="微软雅黑" w:eastAsia="微软雅黑" w:hAnsi="微软雅黑" w:cs="宋体" w:hint="eastAsia"/>
          <w:b/>
          <w:bCs/>
          <w:color w:val="3F3F3F"/>
          <w:spacing w:val="-14"/>
          <w:kern w:val="36"/>
          <w:sz w:val="38"/>
          <w:szCs w:val="38"/>
        </w:rPr>
        <w:t>连阳创出今年新高</w:t>
      </w:r>
    </w:p>
    <w:p w:rsidR="009011F2" w:rsidRPr="009011F2" w:rsidRDefault="009011F2" w:rsidP="009011F2">
      <w:pPr>
        <w:widowControl/>
        <w:spacing w:line="326" w:lineRule="atLeast"/>
        <w:jc w:val="left"/>
        <w:rPr>
          <w:rFonts w:ascii="宋体" w:eastAsia="宋体" w:hAnsi="宋体" w:cs="宋体" w:hint="eastAsia"/>
          <w:kern w:val="0"/>
          <w:sz w:val="16"/>
          <w:szCs w:val="16"/>
        </w:rPr>
      </w:pPr>
      <w:r w:rsidRPr="009011F2">
        <w:rPr>
          <w:rFonts w:ascii="宋体" w:eastAsia="宋体" w:hAnsi="宋体" w:cs="宋体" w:hint="eastAsia"/>
          <w:kern w:val="0"/>
          <w:sz w:val="16"/>
          <w:szCs w:val="16"/>
        </w:rPr>
        <w:t>2017年03月16日 15:00</w:t>
      </w:r>
    </w:p>
    <w:p w:rsidR="009011F2" w:rsidRPr="009011F2" w:rsidRDefault="009011F2" w:rsidP="009011F2">
      <w:pPr>
        <w:widowControl/>
        <w:spacing w:line="326" w:lineRule="atLeast"/>
        <w:jc w:val="left"/>
        <w:rPr>
          <w:rFonts w:ascii="宋体" w:eastAsia="宋体" w:hAnsi="宋体" w:cs="宋体" w:hint="eastAsia"/>
          <w:kern w:val="0"/>
          <w:sz w:val="16"/>
          <w:szCs w:val="16"/>
        </w:rPr>
      </w:pPr>
      <w:r w:rsidRPr="009011F2">
        <w:rPr>
          <w:rFonts w:ascii="宋体" w:eastAsia="宋体" w:hAnsi="宋体" w:cs="宋体" w:hint="eastAsia"/>
          <w:kern w:val="0"/>
          <w:sz w:val="16"/>
          <w:szCs w:val="16"/>
        </w:rPr>
        <w:t>来源：</w:t>
      </w:r>
      <w:r>
        <w:rPr>
          <w:rFonts w:ascii="宋体" w:eastAsia="宋体" w:hAnsi="宋体" w:cs="宋体"/>
          <w:noProof/>
          <w:kern w:val="0"/>
          <w:sz w:val="16"/>
          <w:szCs w:val="16"/>
        </w:rPr>
        <w:drawing>
          <wp:inline distT="0" distB="0" distL="0" distR="0">
            <wp:extent cx="569595" cy="112395"/>
            <wp:effectExtent l="19050" t="0" r="1905" b="0"/>
            <wp:docPr id="1" name="图片 1" descr="东方财富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东方财富网"/>
                    <pic:cNvPicPr>
                      <a:picLocks noChangeAspect="1" noChangeArrowheads="1"/>
                    </pic:cNvPicPr>
                  </pic:nvPicPr>
                  <pic:blipFill>
                    <a:blip r:embed="rId5" cstate="print"/>
                    <a:srcRect/>
                    <a:stretch>
                      <a:fillRect/>
                    </a:stretch>
                  </pic:blipFill>
                  <pic:spPr bwMode="auto">
                    <a:xfrm>
                      <a:off x="0" y="0"/>
                      <a:ext cx="569595" cy="112395"/>
                    </a:xfrm>
                    <a:prstGeom prst="rect">
                      <a:avLst/>
                    </a:prstGeom>
                    <a:noFill/>
                    <a:ln w="9525">
                      <a:noFill/>
                      <a:miter lim="800000"/>
                      <a:headEnd/>
                      <a:tailEnd/>
                    </a:ln>
                  </pic:spPr>
                </pic:pic>
              </a:graphicData>
            </a:graphic>
          </wp:inline>
        </w:drawing>
      </w:r>
    </w:p>
    <w:p w:rsidR="009011F2" w:rsidRPr="009011F2" w:rsidRDefault="009011F2" w:rsidP="009011F2">
      <w:pPr>
        <w:widowControl/>
        <w:spacing w:line="326" w:lineRule="atLeast"/>
        <w:jc w:val="left"/>
        <w:rPr>
          <w:rFonts w:ascii="宋体" w:eastAsia="宋体" w:hAnsi="宋体" w:cs="宋体" w:hint="eastAsia"/>
          <w:kern w:val="0"/>
          <w:sz w:val="16"/>
          <w:szCs w:val="16"/>
        </w:rPr>
      </w:pPr>
      <w:r w:rsidRPr="009011F2">
        <w:rPr>
          <w:rFonts w:ascii="宋体" w:eastAsia="宋体" w:hAnsi="宋体" w:cs="宋体" w:hint="eastAsia"/>
          <w:kern w:val="0"/>
          <w:sz w:val="16"/>
          <w:szCs w:val="16"/>
        </w:rPr>
        <w:t>分享到：</w:t>
      </w:r>
    </w:p>
    <w:p w:rsidR="009011F2" w:rsidRPr="009011F2" w:rsidRDefault="009011F2" w:rsidP="009011F2">
      <w:pPr>
        <w:widowControl/>
        <w:spacing w:line="408" w:lineRule="atLeast"/>
        <w:jc w:val="left"/>
        <w:rPr>
          <w:rFonts w:ascii="宋体" w:eastAsia="宋体" w:hAnsi="宋体" w:cs="宋体" w:hint="eastAsia"/>
          <w:kern w:val="0"/>
          <w:sz w:val="16"/>
          <w:szCs w:val="16"/>
        </w:rPr>
      </w:pPr>
      <w:hyperlink r:id="rId6" w:tgtFrame="_blank" w:history="1">
        <w:r w:rsidRPr="009011F2">
          <w:rPr>
            <w:rFonts w:ascii="Arial" w:eastAsia="宋体" w:hAnsi="Arial" w:cs="Arial"/>
            <w:b/>
            <w:bCs/>
            <w:color w:val="FF4901"/>
            <w:kern w:val="0"/>
            <w:sz w:val="22"/>
          </w:rPr>
          <w:t>345</w:t>
        </w:r>
        <w:r w:rsidRPr="009011F2">
          <w:rPr>
            <w:rFonts w:ascii="宋体" w:eastAsia="宋体" w:hAnsi="宋体" w:cs="宋体"/>
            <w:color w:val="043396"/>
            <w:kern w:val="0"/>
            <w:sz w:val="16"/>
          </w:rPr>
          <w:t>人评论</w:t>
        </w:r>
        <w:r w:rsidRPr="009011F2">
          <w:rPr>
            <w:rFonts w:ascii="Arial" w:eastAsia="宋体" w:hAnsi="Arial" w:cs="Arial"/>
            <w:b/>
            <w:bCs/>
            <w:color w:val="FF4901"/>
            <w:kern w:val="0"/>
            <w:sz w:val="22"/>
          </w:rPr>
          <w:t>177914</w:t>
        </w:r>
        <w:r w:rsidRPr="009011F2">
          <w:rPr>
            <w:rFonts w:ascii="宋体" w:eastAsia="宋体" w:hAnsi="宋体" w:cs="宋体"/>
            <w:color w:val="043396"/>
            <w:kern w:val="0"/>
            <w:sz w:val="16"/>
          </w:rPr>
          <w:t>人参与讨论</w:t>
        </w:r>
      </w:hyperlink>
      <w:hyperlink r:id="rId7" w:anchor="newsComment" w:tgtFrame="_self" w:history="1">
        <w:r w:rsidRPr="009011F2">
          <w:rPr>
            <w:rFonts w:ascii="宋体" w:eastAsia="宋体" w:hAnsi="宋体" w:cs="宋体"/>
            <w:color w:val="043396"/>
            <w:kern w:val="0"/>
            <w:sz w:val="16"/>
          </w:rPr>
          <w:t>我来说两句</w:t>
        </w:r>
      </w:hyperlink>
      <w:hyperlink r:id="rId8" w:tgtFrame="_blank" w:history="1">
        <w:r w:rsidRPr="009011F2">
          <w:rPr>
            <w:rFonts w:ascii="宋体" w:eastAsia="宋体" w:hAnsi="宋体" w:cs="宋体"/>
            <w:color w:val="043396"/>
            <w:kern w:val="0"/>
            <w:sz w:val="16"/>
          </w:rPr>
          <w:t>手机免费看新闻</w:t>
        </w:r>
      </w:hyperlink>
    </w:p>
    <w:p w:rsidR="009011F2" w:rsidRPr="009011F2" w:rsidRDefault="009011F2" w:rsidP="009011F2">
      <w:pPr>
        <w:widowControl/>
        <w:shd w:val="clear" w:color="auto" w:fill="AAAAAA"/>
        <w:spacing w:line="408" w:lineRule="atLeast"/>
        <w:jc w:val="center"/>
        <w:rPr>
          <w:rFonts w:ascii="宋体" w:eastAsia="宋体" w:hAnsi="宋体" w:cs="宋体"/>
          <w:color w:val="FFFFFF"/>
          <w:kern w:val="0"/>
          <w:sz w:val="22"/>
        </w:rPr>
      </w:pPr>
      <w:r w:rsidRPr="009011F2">
        <w:rPr>
          <w:rFonts w:ascii="宋体" w:eastAsia="宋体" w:hAnsi="宋体" w:cs="宋体" w:hint="eastAsia"/>
          <w:color w:val="FFFFFF"/>
          <w:kern w:val="0"/>
          <w:sz w:val="22"/>
        </w:rPr>
        <w:t>摘要</w:t>
      </w:r>
    </w:p>
    <w:p w:rsidR="009011F2" w:rsidRPr="009011F2" w:rsidRDefault="009011F2" w:rsidP="009011F2">
      <w:pPr>
        <w:widowControl/>
        <w:shd w:val="clear" w:color="auto" w:fill="F6F6F6"/>
        <w:spacing w:line="312" w:lineRule="atLeast"/>
        <w:ind w:firstLine="326"/>
        <w:jc w:val="left"/>
        <w:rPr>
          <w:rFonts w:ascii="宋体" w:eastAsia="宋体" w:hAnsi="宋体" w:cs="宋体" w:hint="eastAsia"/>
          <w:kern w:val="0"/>
          <w:sz w:val="19"/>
          <w:szCs w:val="19"/>
        </w:rPr>
      </w:pPr>
      <w:r w:rsidRPr="009011F2">
        <w:rPr>
          <w:rFonts w:ascii="宋体" w:eastAsia="宋体" w:hAnsi="宋体" w:cs="宋体" w:hint="eastAsia"/>
          <w:kern w:val="0"/>
          <w:sz w:val="19"/>
          <w:szCs w:val="19"/>
        </w:rPr>
        <w:t>【收盘播报】美联储加息靴子落地，沪指</w:t>
      </w:r>
      <w:proofErr w:type="gramStart"/>
      <w:r w:rsidRPr="009011F2">
        <w:rPr>
          <w:rFonts w:ascii="宋体" w:eastAsia="宋体" w:hAnsi="宋体" w:cs="宋体" w:hint="eastAsia"/>
          <w:kern w:val="0"/>
          <w:sz w:val="19"/>
          <w:szCs w:val="19"/>
        </w:rPr>
        <w:t>放量四</w:t>
      </w:r>
      <w:proofErr w:type="gramEnd"/>
      <w:r w:rsidRPr="009011F2">
        <w:rPr>
          <w:rFonts w:ascii="宋体" w:eastAsia="宋体" w:hAnsi="宋体" w:cs="宋体" w:hint="eastAsia"/>
          <w:kern w:val="0"/>
          <w:sz w:val="19"/>
          <w:szCs w:val="19"/>
        </w:rPr>
        <w:t>连阳，创出今年以来新高。</w:t>
      </w:r>
    </w:p>
    <w:p w:rsidR="009011F2" w:rsidRPr="009011F2" w:rsidRDefault="009011F2" w:rsidP="009011F2">
      <w:pPr>
        <w:widowControl/>
        <w:pBdr>
          <w:top w:val="single" w:sz="6" w:space="0" w:color="E5E5E5"/>
          <w:left w:val="single" w:sz="6" w:space="0" w:color="E5E5E5"/>
          <w:bottom w:val="single" w:sz="6" w:space="0" w:color="E5E5E5"/>
          <w:right w:val="single" w:sz="6" w:space="0" w:color="E5E5E5"/>
        </w:pBdr>
        <w:shd w:val="clear" w:color="auto" w:fill="FFFFFF"/>
        <w:spacing w:after="204" w:line="380" w:lineRule="atLeast"/>
        <w:ind w:left="14"/>
        <w:jc w:val="center"/>
        <w:rPr>
          <w:rFonts w:ascii="宋体" w:eastAsia="宋体" w:hAnsi="宋体" w:cs="宋体" w:hint="eastAsia"/>
          <w:color w:val="000000"/>
          <w:kern w:val="0"/>
          <w:sz w:val="19"/>
          <w:szCs w:val="19"/>
        </w:rPr>
      </w:pPr>
      <w:r>
        <w:rPr>
          <w:rFonts w:ascii="宋体" w:eastAsia="宋体" w:hAnsi="宋体" w:cs="宋体"/>
          <w:noProof/>
          <w:color w:val="043396"/>
          <w:kern w:val="0"/>
          <w:sz w:val="19"/>
          <w:szCs w:val="19"/>
        </w:rPr>
        <w:drawing>
          <wp:inline distT="0" distB="0" distL="0" distR="0">
            <wp:extent cx="5503545" cy="2630805"/>
            <wp:effectExtent l="19050" t="0" r="1905" b="0"/>
            <wp:docPr id="2" name="图片 2" descr="K图 000001_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图 000001_1">
                      <a:hlinkClick r:id="rId9" tgtFrame="&quot;_blank&quot;"/>
                    </pic:cNvPr>
                    <pic:cNvPicPr>
                      <a:picLocks noChangeAspect="1" noChangeArrowheads="1"/>
                    </pic:cNvPicPr>
                  </pic:nvPicPr>
                  <pic:blipFill>
                    <a:blip r:embed="rId10" cstate="print"/>
                    <a:srcRect/>
                    <a:stretch>
                      <a:fillRect/>
                    </a:stretch>
                  </pic:blipFill>
                  <pic:spPr bwMode="auto">
                    <a:xfrm>
                      <a:off x="0" y="0"/>
                      <a:ext cx="5503545" cy="2630805"/>
                    </a:xfrm>
                    <a:prstGeom prst="rect">
                      <a:avLst/>
                    </a:prstGeom>
                    <a:noFill/>
                    <a:ln w="9525">
                      <a:noFill/>
                      <a:miter lim="800000"/>
                      <a:headEnd/>
                      <a:tailEnd/>
                    </a:ln>
                  </pic:spPr>
                </pic:pic>
              </a:graphicData>
            </a:graphic>
          </wp:inline>
        </w:drawing>
      </w:r>
    </w:p>
    <w:p w:rsidR="009011F2" w:rsidRPr="009011F2" w:rsidRDefault="009011F2" w:rsidP="009011F2">
      <w:pPr>
        <w:widowControl/>
        <w:spacing w:line="408" w:lineRule="atLeast"/>
        <w:jc w:val="left"/>
        <w:rPr>
          <w:rFonts w:ascii="宋体" w:eastAsia="宋体" w:hAnsi="宋体" w:cs="宋体" w:hint="eastAsia"/>
          <w:color w:val="000000"/>
          <w:kern w:val="0"/>
          <w:sz w:val="16"/>
          <w:szCs w:val="16"/>
        </w:rPr>
      </w:pPr>
      <w:r w:rsidRPr="009011F2">
        <w:rPr>
          <w:rFonts w:ascii="宋体" w:eastAsia="宋体" w:hAnsi="宋体" w:cs="宋体"/>
          <w:color w:val="000000"/>
          <w:kern w:val="0"/>
          <w:sz w:val="16"/>
          <w:szCs w:val="16"/>
        </w:rPr>
        <w:t>最新价：</w:t>
      </w:r>
      <w:r w:rsidRPr="009011F2">
        <w:rPr>
          <w:rFonts w:ascii="宋体" w:eastAsia="宋体" w:hAnsi="宋体" w:cs="宋体"/>
          <w:color w:val="FF0000"/>
          <w:kern w:val="0"/>
          <w:sz w:val="16"/>
          <w:szCs w:val="16"/>
        </w:rPr>
        <w:t>3268.94</w:t>
      </w:r>
    </w:p>
    <w:p w:rsidR="009011F2" w:rsidRPr="009011F2" w:rsidRDefault="009011F2" w:rsidP="009011F2">
      <w:pPr>
        <w:widowControl/>
        <w:spacing w:line="408" w:lineRule="atLeast"/>
        <w:jc w:val="left"/>
        <w:rPr>
          <w:rFonts w:ascii="宋体" w:eastAsia="宋体" w:hAnsi="宋体" w:cs="宋体"/>
          <w:color w:val="000000"/>
          <w:kern w:val="0"/>
          <w:sz w:val="16"/>
          <w:szCs w:val="16"/>
        </w:rPr>
      </w:pPr>
      <w:r w:rsidRPr="009011F2">
        <w:rPr>
          <w:rFonts w:ascii="宋体" w:eastAsia="宋体" w:hAnsi="宋体" w:cs="宋体"/>
          <w:color w:val="000000"/>
          <w:kern w:val="0"/>
          <w:sz w:val="16"/>
          <w:szCs w:val="16"/>
        </w:rPr>
        <w:t>涨跌额：</w:t>
      </w:r>
      <w:r w:rsidRPr="009011F2">
        <w:rPr>
          <w:rFonts w:ascii="宋体" w:eastAsia="宋体" w:hAnsi="宋体" w:cs="宋体"/>
          <w:color w:val="FF0000"/>
          <w:kern w:val="0"/>
          <w:sz w:val="16"/>
          <w:szCs w:val="16"/>
        </w:rPr>
        <w:t>27.18</w:t>
      </w:r>
    </w:p>
    <w:p w:rsidR="009011F2" w:rsidRPr="009011F2" w:rsidRDefault="009011F2" w:rsidP="009011F2">
      <w:pPr>
        <w:widowControl/>
        <w:spacing w:line="408" w:lineRule="atLeast"/>
        <w:jc w:val="left"/>
        <w:rPr>
          <w:rFonts w:ascii="宋体" w:eastAsia="宋体" w:hAnsi="宋体" w:cs="宋体"/>
          <w:color w:val="000000"/>
          <w:kern w:val="0"/>
          <w:sz w:val="16"/>
          <w:szCs w:val="16"/>
        </w:rPr>
      </w:pPr>
      <w:r w:rsidRPr="009011F2">
        <w:rPr>
          <w:rFonts w:ascii="宋体" w:eastAsia="宋体" w:hAnsi="宋体" w:cs="宋体"/>
          <w:color w:val="000000"/>
          <w:kern w:val="0"/>
          <w:sz w:val="16"/>
          <w:szCs w:val="16"/>
        </w:rPr>
        <w:t>涨跌幅：</w:t>
      </w:r>
      <w:r w:rsidRPr="009011F2">
        <w:rPr>
          <w:rFonts w:ascii="宋体" w:eastAsia="宋体" w:hAnsi="宋体" w:cs="宋体"/>
          <w:color w:val="FF0000"/>
          <w:kern w:val="0"/>
          <w:sz w:val="16"/>
          <w:szCs w:val="16"/>
        </w:rPr>
        <w:t>0.84%</w:t>
      </w:r>
    </w:p>
    <w:p w:rsidR="009011F2" w:rsidRPr="009011F2" w:rsidRDefault="009011F2" w:rsidP="009011F2">
      <w:pPr>
        <w:widowControl/>
        <w:spacing w:line="408" w:lineRule="atLeast"/>
        <w:jc w:val="left"/>
        <w:rPr>
          <w:rFonts w:ascii="宋体" w:eastAsia="宋体" w:hAnsi="宋体" w:cs="宋体"/>
          <w:color w:val="000000"/>
          <w:kern w:val="0"/>
          <w:sz w:val="16"/>
          <w:szCs w:val="16"/>
        </w:rPr>
      </w:pPr>
      <w:r w:rsidRPr="009011F2">
        <w:rPr>
          <w:rFonts w:ascii="宋体" w:eastAsia="宋体" w:hAnsi="宋体" w:cs="宋体"/>
          <w:color w:val="000000"/>
          <w:kern w:val="0"/>
          <w:sz w:val="16"/>
          <w:szCs w:val="16"/>
        </w:rPr>
        <w:t>成交量：18941万手</w:t>
      </w:r>
    </w:p>
    <w:p w:rsidR="009011F2" w:rsidRPr="009011F2" w:rsidRDefault="009011F2" w:rsidP="009011F2">
      <w:pPr>
        <w:widowControl/>
        <w:spacing w:line="408" w:lineRule="atLeast"/>
        <w:jc w:val="left"/>
        <w:rPr>
          <w:rFonts w:ascii="宋体" w:eastAsia="宋体" w:hAnsi="宋体" w:cs="宋体"/>
          <w:color w:val="000000"/>
          <w:kern w:val="0"/>
          <w:sz w:val="16"/>
          <w:szCs w:val="16"/>
        </w:rPr>
      </w:pPr>
      <w:r w:rsidRPr="009011F2">
        <w:rPr>
          <w:rFonts w:ascii="宋体" w:eastAsia="宋体" w:hAnsi="宋体" w:cs="宋体"/>
          <w:color w:val="000000"/>
          <w:kern w:val="0"/>
          <w:sz w:val="16"/>
          <w:szCs w:val="16"/>
        </w:rPr>
        <w:t>成交额：2445.08亿元</w:t>
      </w:r>
    </w:p>
    <w:p w:rsidR="009011F2" w:rsidRPr="009011F2" w:rsidRDefault="009011F2" w:rsidP="009011F2">
      <w:pPr>
        <w:widowControl/>
        <w:spacing w:line="408" w:lineRule="atLeast"/>
        <w:jc w:val="left"/>
        <w:rPr>
          <w:rFonts w:ascii="宋体" w:eastAsia="宋体" w:hAnsi="宋体" w:cs="宋体"/>
          <w:color w:val="000000"/>
          <w:kern w:val="0"/>
          <w:sz w:val="16"/>
          <w:szCs w:val="16"/>
        </w:rPr>
      </w:pPr>
      <w:r w:rsidRPr="009011F2">
        <w:rPr>
          <w:rFonts w:ascii="宋体" w:eastAsia="宋体" w:hAnsi="宋体" w:cs="宋体"/>
          <w:color w:val="000000"/>
          <w:kern w:val="0"/>
          <w:sz w:val="16"/>
          <w:szCs w:val="16"/>
        </w:rPr>
        <w:t>换手率：0.00%</w:t>
      </w:r>
    </w:p>
    <w:p w:rsidR="009011F2" w:rsidRPr="009011F2" w:rsidRDefault="009011F2" w:rsidP="009011F2">
      <w:pPr>
        <w:widowControl/>
        <w:spacing w:line="163" w:lineRule="atLeast"/>
        <w:jc w:val="center"/>
        <w:rPr>
          <w:rFonts w:ascii="宋体" w:eastAsia="宋体" w:hAnsi="宋体" w:cs="宋体"/>
          <w:kern w:val="0"/>
          <w:sz w:val="19"/>
          <w:szCs w:val="19"/>
        </w:rPr>
      </w:pPr>
      <w:hyperlink r:id="rId11" w:tgtFrame="_blank" w:history="1">
        <w:r w:rsidRPr="009011F2">
          <w:rPr>
            <w:rFonts w:ascii="宋体" w:eastAsia="宋体" w:hAnsi="宋体" w:cs="宋体"/>
            <w:color w:val="043396"/>
            <w:kern w:val="0"/>
            <w:sz w:val="16"/>
            <w:u w:val="single"/>
          </w:rPr>
          <w:t>上证指数行情</w:t>
        </w:r>
      </w:hyperlink>
      <w:r w:rsidRPr="009011F2">
        <w:rPr>
          <w:rFonts w:ascii="宋体" w:eastAsia="宋体" w:hAnsi="宋体" w:cs="宋体"/>
          <w:kern w:val="0"/>
          <w:sz w:val="19"/>
          <w:szCs w:val="19"/>
        </w:rPr>
        <w:t>  </w:t>
      </w:r>
      <w:hyperlink r:id="rId12" w:anchor="paihang_0_0" w:tgtFrame="_blank" w:history="1">
        <w:r w:rsidRPr="009011F2">
          <w:rPr>
            <w:rFonts w:ascii="宋体" w:eastAsia="宋体" w:hAnsi="宋体" w:cs="宋体"/>
            <w:color w:val="043396"/>
            <w:kern w:val="0"/>
            <w:sz w:val="16"/>
            <w:u w:val="single"/>
          </w:rPr>
          <w:t>领涨个股</w:t>
        </w:r>
      </w:hyperlink>
      <w:r w:rsidRPr="009011F2">
        <w:rPr>
          <w:rFonts w:ascii="宋体" w:eastAsia="宋体" w:hAnsi="宋体" w:cs="宋体"/>
          <w:kern w:val="0"/>
          <w:sz w:val="19"/>
          <w:szCs w:val="19"/>
        </w:rPr>
        <w:t>  </w:t>
      </w:r>
      <w:hyperlink r:id="rId13" w:tgtFrame="_blank" w:history="1">
        <w:r w:rsidRPr="009011F2">
          <w:rPr>
            <w:rFonts w:ascii="宋体" w:eastAsia="宋体" w:hAnsi="宋体" w:cs="宋体"/>
            <w:color w:val="043396"/>
            <w:kern w:val="0"/>
            <w:sz w:val="16"/>
            <w:u w:val="single"/>
          </w:rPr>
          <w:t>大盘资金流向</w:t>
        </w:r>
      </w:hyperlink>
      <w:r w:rsidRPr="009011F2">
        <w:rPr>
          <w:rFonts w:ascii="宋体" w:eastAsia="宋体" w:hAnsi="宋体" w:cs="宋体"/>
          <w:kern w:val="0"/>
          <w:sz w:val="19"/>
          <w:szCs w:val="19"/>
        </w:rPr>
        <w:t>  </w:t>
      </w:r>
      <w:hyperlink r:id="rId14" w:tgtFrame="_blank" w:history="1">
        <w:r w:rsidRPr="009011F2">
          <w:rPr>
            <w:rFonts w:ascii="宋体" w:eastAsia="宋体" w:hAnsi="宋体" w:cs="宋体"/>
            <w:color w:val="043396"/>
            <w:kern w:val="0"/>
            <w:sz w:val="16"/>
            <w:u w:val="single"/>
          </w:rPr>
          <w:t>7*24小时快讯</w:t>
        </w:r>
      </w:hyperlink>
      <w:r w:rsidRPr="009011F2">
        <w:rPr>
          <w:rFonts w:ascii="宋体" w:eastAsia="宋体" w:hAnsi="宋体" w:cs="宋体"/>
          <w:kern w:val="0"/>
          <w:sz w:val="19"/>
          <w:szCs w:val="19"/>
        </w:rPr>
        <w:t>  </w:t>
      </w:r>
      <w:hyperlink r:id="rId15" w:tgtFrame="_blank" w:history="1">
        <w:r w:rsidRPr="009011F2">
          <w:rPr>
            <w:rFonts w:ascii="宋体" w:eastAsia="宋体" w:hAnsi="宋体" w:cs="宋体"/>
            <w:color w:val="043396"/>
            <w:kern w:val="0"/>
            <w:sz w:val="16"/>
            <w:u w:val="single"/>
          </w:rPr>
          <w:t>进入上证指数吧</w:t>
        </w:r>
      </w:hyperlink>
    </w:p>
    <w:p w:rsidR="009011F2" w:rsidRPr="009011F2" w:rsidRDefault="009011F2" w:rsidP="009011F2">
      <w:pPr>
        <w:widowControl/>
        <w:spacing w:line="245" w:lineRule="atLeast"/>
        <w:jc w:val="center"/>
        <w:rPr>
          <w:rFonts w:ascii="宋体" w:eastAsia="宋体" w:hAnsi="宋体" w:cs="宋体"/>
          <w:b/>
          <w:bCs/>
          <w:kern w:val="0"/>
          <w:sz w:val="19"/>
          <w:szCs w:val="19"/>
        </w:rPr>
      </w:pPr>
      <w:r w:rsidRPr="009011F2">
        <w:rPr>
          <w:rFonts w:ascii="宋体" w:eastAsia="宋体" w:hAnsi="宋体" w:cs="宋体"/>
          <w:b/>
          <w:bCs/>
          <w:kern w:val="0"/>
          <w:sz w:val="19"/>
          <w:szCs w:val="19"/>
        </w:rPr>
        <w:t>领涨行业</w:t>
      </w:r>
    </w:p>
    <w:p w:rsidR="009011F2" w:rsidRPr="009011F2" w:rsidRDefault="009011F2" w:rsidP="009011F2">
      <w:pPr>
        <w:widowControl/>
        <w:numPr>
          <w:ilvl w:val="0"/>
          <w:numId w:val="1"/>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1、</w:t>
      </w:r>
      <w:r w:rsidRPr="009011F2">
        <w:rPr>
          <w:rFonts w:ascii="宋体" w:eastAsia="宋体" w:hAnsi="宋体" w:cs="宋体"/>
          <w:kern w:val="0"/>
          <w:sz w:val="16"/>
          <w:szCs w:val="16"/>
        </w:rPr>
        <w:fldChar w:fldCharType="begin"/>
      </w:r>
      <w:r w:rsidRPr="009011F2">
        <w:rPr>
          <w:rFonts w:ascii="宋体" w:eastAsia="宋体" w:hAnsi="宋体" w:cs="宋体"/>
          <w:kern w:val="0"/>
          <w:sz w:val="16"/>
          <w:szCs w:val="16"/>
        </w:rPr>
        <w:instrText xml:space="preserve"> HYPERLINK "http://quote.eastmoney.com/center/list.html" \l "28002736_0_2" \t "_blank" </w:instrText>
      </w:r>
      <w:r w:rsidRPr="009011F2">
        <w:rPr>
          <w:rFonts w:ascii="宋体" w:eastAsia="宋体" w:hAnsi="宋体" w:cs="宋体"/>
          <w:kern w:val="0"/>
          <w:sz w:val="16"/>
          <w:szCs w:val="16"/>
        </w:rPr>
        <w:fldChar w:fldCharType="separate"/>
      </w:r>
      <w:r w:rsidRPr="009011F2">
        <w:rPr>
          <w:rFonts w:ascii="宋体" w:eastAsia="宋体" w:hAnsi="宋体" w:cs="宋体"/>
          <w:color w:val="043396"/>
          <w:kern w:val="0"/>
          <w:sz w:val="16"/>
          <w:u w:val="single"/>
        </w:rPr>
        <w:t>电信运营</w:t>
      </w:r>
      <w:r w:rsidRPr="009011F2">
        <w:rPr>
          <w:rFonts w:ascii="宋体" w:eastAsia="宋体" w:hAnsi="宋体" w:cs="宋体"/>
          <w:kern w:val="0"/>
          <w:sz w:val="16"/>
          <w:szCs w:val="16"/>
        </w:rPr>
        <w:fldChar w:fldCharType="end"/>
      </w:r>
    </w:p>
    <w:p w:rsidR="009011F2" w:rsidRPr="009011F2" w:rsidRDefault="009011F2" w:rsidP="009011F2">
      <w:pPr>
        <w:widowControl/>
        <w:numPr>
          <w:ilvl w:val="0"/>
          <w:numId w:val="1"/>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涨幅：</w:t>
      </w:r>
      <w:r w:rsidRPr="009011F2">
        <w:rPr>
          <w:rFonts w:ascii="宋体" w:eastAsia="宋体" w:hAnsi="宋体" w:cs="宋体"/>
          <w:color w:val="FF0000"/>
          <w:kern w:val="0"/>
          <w:sz w:val="16"/>
          <w:szCs w:val="16"/>
        </w:rPr>
        <w:t>2.47%</w:t>
      </w:r>
    </w:p>
    <w:p w:rsidR="009011F2" w:rsidRPr="009011F2" w:rsidRDefault="009011F2" w:rsidP="009011F2">
      <w:pPr>
        <w:widowControl/>
        <w:numPr>
          <w:ilvl w:val="0"/>
          <w:numId w:val="1"/>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上涨：</w:t>
      </w:r>
      <w:r w:rsidRPr="009011F2">
        <w:rPr>
          <w:rFonts w:ascii="宋体" w:eastAsia="宋体" w:hAnsi="宋体" w:cs="宋体"/>
          <w:color w:val="FF0000"/>
          <w:kern w:val="0"/>
          <w:sz w:val="16"/>
          <w:szCs w:val="16"/>
        </w:rPr>
        <w:t>5</w:t>
      </w:r>
      <w:r w:rsidRPr="009011F2">
        <w:rPr>
          <w:rFonts w:ascii="宋体" w:eastAsia="宋体" w:hAnsi="宋体" w:cs="宋体"/>
          <w:kern w:val="0"/>
          <w:sz w:val="16"/>
          <w:szCs w:val="16"/>
        </w:rPr>
        <w:t>家</w:t>
      </w:r>
    </w:p>
    <w:p w:rsidR="009011F2" w:rsidRPr="009011F2" w:rsidRDefault="009011F2" w:rsidP="009011F2">
      <w:pPr>
        <w:widowControl/>
        <w:numPr>
          <w:ilvl w:val="0"/>
          <w:numId w:val="1"/>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下跌：</w:t>
      </w:r>
      <w:r w:rsidRPr="009011F2">
        <w:rPr>
          <w:rFonts w:ascii="宋体" w:eastAsia="宋体" w:hAnsi="宋体" w:cs="宋体"/>
          <w:color w:val="009900"/>
          <w:kern w:val="0"/>
          <w:sz w:val="16"/>
          <w:szCs w:val="16"/>
        </w:rPr>
        <w:t>0</w:t>
      </w:r>
      <w:r w:rsidRPr="009011F2">
        <w:rPr>
          <w:rFonts w:ascii="宋体" w:eastAsia="宋体" w:hAnsi="宋体" w:cs="宋体"/>
          <w:kern w:val="0"/>
          <w:sz w:val="16"/>
          <w:szCs w:val="16"/>
        </w:rPr>
        <w:t>家</w:t>
      </w:r>
    </w:p>
    <w:p w:rsidR="009011F2" w:rsidRPr="009011F2" w:rsidRDefault="009011F2" w:rsidP="009011F2">
      <w:pPr>
        <w:widowControl/>
        <w:numPr>
          <w:ilvl w:val="0"/>
          <w:numId w:val="1"/>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领涨股：</w:t>
      </w:r>
      <w:hyperlink r:id="rId16" w:tgtFrame="_blank" w:history="1">
        <w:r w:rsidRPr="009011F2">
          <w:rPr>
            <w:rFonts w:ascii="宋体" w:eastAsia="宋体" w:hAnsi="宋体" w:cs="宋体"/>
            <w:color w:val="043396"/>
            <w:kern w:val="0"/>
            <w:sz w:val="16"/>
            <w:u w:val="single"/>
          </w:rPr>
          <w:t>中国联通</w:t>
        </w:r>
      </w:hyperlink>
    </w:p>
    <w:p w:rsidR="009011F2" w:rsidRPr="009011F2" w:rsidRDefault="009011F2" w:rsidP="009011F2">
      <w:pPr>
        <w:widowControl/>
        <w:numPr>
          <w:ilvl w:val="0"/>
          <w:numId w:val="1"/>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涨幅：</w:t>
      </w:r>
      <w:r w:rsidRPr="009011F2">
        <w:rPr>
          <w:rFonts w:ascii="宋体" w:eastAsia="宋体" w:hAnsi="宋体" w:cs="宋体"/>
          <w:color w:val="FF0000"/>
          <w:kern w:val="0"/>
          <w:sz w:val="16"/>
          <w:szCs w:val="16"/>
        </w:rPr>
        <w:t>2.81%</w:t>
      </w:r>
    </w:p>
    <w:p w:rsidR="009011F2" w:rsidRPr="009011F2" w:rsidRDefault="009011F2" w:rsidP="009011F2">
      <w:pPr>
        <w:widowControl/>
        <w:numPr>
          <w:ilvl w:val="0"/>
          <w:numId w:val="2"/>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2、</w:t>
      </w:r>
      <w:r w:rsidRPr="009011F2">
        <w:rPr>
          <w:rFonts w:ascii="宋体" w:eastAsia="宋体" w:hAnsi="宋体" w:cs="宋体"/>
          <w:kern w:val="0"/>
          <w:sz w:val="16"/>
          <w:szCs w:val="16"/>
        </w:rPr>
        <w:fldChar w:fldCharType="begin"/>
      </w:r>
      <w:r w:rsidRPr="009011F2">
        <w:rPr>
          <w:rFonts w:ascii="宋体" w:eastAsia="宋体" w:hAnsi="宋体" w:cs="宋体"/>
          <w:kern w:val="0"/>
          <w:sz w:val="16"/>
          <w:szCs w:val="16"/>
        </w:rPr>
        <w:instrText xml:space="preserve"> HYPERLINK "http://quote.eastmoney.com/center/list.html" \l "28002473_0_2" \t "_blank" </w:instrText>
      </w:r>
      <w:r w:rsidRPr="009011F2">
        <w:rPr>
          <w:rFonts w:ascii="宋体" w:eastAsia="宋体" w:hAnsi="宋体" w:cs="宋体"/>
          <w:kern w:val="0"/>
          <w:sz w:val="16"/>
          <w:szCs w:val="16"/>
        </w:rPr>
        <w:fldChar w:fldCharType="separate"/>
      </w:r>
      <w:r w:rsidRPr="009011F2">
        <w:rPr>
          <w:rFonts w:ascii="宋体" w:eastAsia="宋体" w:hAnsi="宋体" w:cs="宋体"/>
          <w:color w:val="043396"/>
          <w:kern w:val="0"/>
          <w:sz w:val="16"/>
          <w:u w:val="single"/>
        </w:rPr>
        <w:t>券商信托</w:t>
      </w:r>
      <w:r w:rsidRPr="009011F2">
        <w:rPr>
          <w:rFonts w:ascii="宋体" w:eastAsia="宋体" w:hAnsi="宋体" w:cs="宋体"/>
          <w:kern w:val="0"/>
          <w:sz w:val="16"/>
          <w:szCs w:val="16"/>
        </w:rPr>
        <w:fldChar w:fldCharType="end"/>
      </w:r>
    </w:p>
    <w:p w:rsidR="009011F2" w:rsidRPr="009011F2" w:rsidRDefault="009011F2" w:rsidP="009011F2">
      <w:pPr>
        <w:widowControl/>
        <w:numPr>
          <w:ilvl w:val="0"/>
          <w:numId w:val="2"/>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涨幅：</w:t>
      </w:r>
      <w:r w:rsidRPr="009011F2">
        <w:rPr>
          <w:rFonts w:ascii="宋体" w:eastAsia="宋体" w:hAnsi="宋体" w:cs="宋体"/>
          <w:color w:val="FF0000"/>
          <w:kern w:val="0"/>
          <w:sz w:val="16"/>
          <w:szCs w:val="16"/>
        </w:rPr>
        <w:t>2.17%</w:t>
      </w:r>
    </w:p>
    <w:p w:rsidR="009011F2" w:rsidRPr="009011F2" w:rsidRDefault="009011F2" w:rsidP="009011F2">
      <w:pPr>
        <w:widowControl/>
        <w:numPr>
          <w:ilvl w:val="0"/>
          <w:numId w:val="2"/>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lastRenderedPageBreak/>
        <w:t>上涨：</w:t>
      </w:r>
      <w:r w:rsidRPr="009011F2">
        <w:rPr>
          <w:rFonts w:ascii="宋体" w:eastAsia="宋体" w:hAnsi="宋体" w:cs="宋体"/>
          <w:color w:val="FF0000"/>
          <w:kern w:val="0"/>
          <w:sz w:val="16"/>
          <w:szCs w:val="16"/>
        </w:rPr>
        <w:t>29</w:t>
      </w:r>
      <w:r w:rsidRPr="009011F2">
        <w:rPr>
          <w:rFonts w:ascii="宋体" w:eastAsia="宋体" w:hAnsi="宋体" w:cs="宋体"/>
          <w:kern w:val="0"/>
          <w:sz w:val="16"/>
          <w:szCs w:val="16"/>
        </w:rPr>
        <w:t>家</w:t>
      </w:r>
    </w:p>
    <w:p w:rsidR="009011F2" w:rsidRPr="009011F2" w:rsidRDefault="009011F2" w:rsidP="009011F2">
      <w:pPr>
        <w:widowControl/>
        <w:numPr>
          <w:ilvl w:val="0"/>
          <w:numId w:val="2"/>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下跌：</w:t>
      </w:r>
      <w:r w:rsidRPr="009011F2">
        <w:rPr>
          <w:rFonts w:ascii="宋体" w:eastAsia="宋体" w:hAnsi="宋体" w:cs="宋体"/>
          <w:color w:val="009900"/>
          <w:kern w:val="0"/>
          <w:sz w:val="16"/>
          <w:szCs w:val="16"/>
        </w:rPr>
        <w:t>0</w:t>
      </w:r>
      <w:r w:rsidRPr="009011F2">
        <w:rPr>
          <w:rFonts w:ascii="宋体" w:eastAsia="宋体" w:hAnsi="宋体" w:cs="宋体"/>
          <w:kern w:val="0"/>
          <w:sz w:val="16"/>
          <w:szCs w:val="16"/>
        </w:rPr>
        <w:t>家</w:t>
      </w:r>
    </w:p>
    <w:p w:rsidR="009011F2" w:rsidRPr="009011F2" w:rsidRDefault="009011F2" w:rsidP="009011F2">
      <w:pPr>
        <w:widowControl/>
        <w:numPr>
          <w:ilvl w:val="0"/>
          <w:numId w:val="2"/>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领涨股：</w:t>
      </w:r>
      <w:hyperlink r:id="rId17" w:tgtFrame="_blank" w:history="1">
        <w:r w:rsidRPr="009011F2">
          <w:rPr>
            <w:rFonts w:ascii="宋体" w:eastAsia="宋体" w:hAnsi="宋体" w:cs="宋体"/>
            <w:color w:val="043396"/>
            <w:kern w:val="0"/>
            <w:sz w:val="16"/>
            <w:u w:val="single"/>
          </w:rPr>
          <w:t>华安证券</w:t>
        </w:r>
      </w:hyperlink>
    </w:p>
    <w:p w:rsidR="009011F2" w:rsidRPr="009011F2" w:rsidRDefault="009011F2" w:rsidP="009011F2">
      <w:pPr>
        <w:widowControl/>
        <w:numPr>
          <w:ilvl w:val="0"/>
          <w:numId w:val="2"/>
        </w:numPr>
        <w:spacing w:line="326" w:lineRule="atLeast"/>
        <w:ind w:left="217"/>
        <w:jc w:val="left"/>
        <w:rPr>
          <w:rFonts w:ascii="宋体" w:eastAsia="宋体" w:hAnsi="宋体" w:cs="宋体"/>
          <w:kern w:val="0"/>
          <w:sz w:val="16"/>
          <w:szCs w:val="16"/>
        </w:rPr>
      </w:pPr>
      <w:r w:rsidRPr="009011F2">
        <w:rPr>
          <w:rFonts w:ascii="宋体" w:eastAsia="宋体" w:hAnsi="宋体" w:cs="宋体"/>
          <w:kern w:val="0"/>
          <w:sz w:val="16"/>
          <w:szCs w:val="16"/>
        </w:rPr>
        <w:t>涨幅：</w:t>
      </w:r>
      <w:r w:rsidRPr="009011F2">
        <w:rPr>
          <w:rFonts w:ascii="宋体" w:eastAsia="宋体" w:hAnsi="宋体" w:cs="宋体"/>
          <w:color w:val="FF0000"/>
          <w:kern w:val="0"/>
          <w:sz w:val="16"/>
          <w:szCs w:val="16"/>
        </w:rPr>
        <w:t>10.03%</w:t>
      </w:r>
    </w:p>
    <w:p w:rsidR="009011F2" w:rsidRPr="009011F2" w:rsidRDefault="009011F2" w:rsidP="009011F2">
      <w:pPr>
        <w:widowControl/>
        <w:shd w:val="clear" w:color="auto" w:fill="FFFFFF"/>
        <w:spacing w:before="163" w:after="163" w:line="380" w:lineRule="atLeast"/>
        <w:jc w:val="left"/>
        <w:rPr>
          <w:rFonts w:ascii="宋体" w:eastAsia="宋体" w:hAnsi="宋体" w:cs="宋体"/>
          <w:color w:val="000000"/>
          <w:kern w:val="0"/>
          <w:sz w:val="19"/>
          <w:szCs w:val="19"/>
        </w:rPr>
      </w:pPr>
      <w:r w:rsidRPr="009011F2">
        <w:rPr>
          <w:rFonts w:ascii="宋体" w:eastAsia="宋体" w:hAnsi="宋体" w:cs="宋体" w:hint="eastAsia"/>
          <w:color w:val="000000"/>
          <w:kern w:val="0"/>
          <w:sz w:val="19"/>
          <w:szCs w:val="19"/>
        </w:rPr>
        <w:t xml:space="preserve">　　美联储加息靴子终于落地，沪指今日高开高走，最终收盘上涨0.84%，收报3268.94点，日K线收出四连阳，创出今年以来新高。</w:t>
      </w:r>
      <w:r w:rsidRPr="009011F2">
        <w:rPr>
          <w:rFonts w:ascii="宋体" w:eastAsia="宋体" w:hAnsi="宋体" w:cs="宋体" w:hint="eastAsia"/>
          <w:color w:val="FFFFFF" w:themeColor="background1"/>
          <w:kern w:val="0"/>
          <w:sz w:val="19"/>
          <w:szCs w:val="19"/>
          <w:shd w:val="clear" w:color="auto" w:fill="C00000"/>
        </w:rPr>
        <w:t>两市成交量略有放大，合计成交超过5505亿元，行业板块呈现普涨态势</w:t>
      </w:r>
      <w:r w:rsidRPr="009011F2">
        <w:rPr>
          <w:rFonts w:ascii="宋体" w:eastAsia="宋体" w:hAnsi="宋体" w:cs="宋体" w:hint="eastAsia"/>
          <w:color w:val="000000"/>
          <w:kern w:val="0"/>
          <w:sz w:val="19"/>
          <w:szCs w:val="19"/>
        </w:rPr>
        <w:t>。</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消息面上，北京时间3月16日凌晨2:00，美国联邦储备委员会宣布将联邦基金</w:t>
      </w:r>
      <w:r w:rsidRPr="009011F2">
        <w:rPr>
          <w:rFonts w:ascii="宋体" w:eastAsia="宋体" w:hAnsi="宋体" w:cs="宋体"/>
          <w:color w:val="000000"/>
          <w:kern w:val="0"/>
          <w:sz w:val="19"/>
          <w:szCs w:val="19"/>
        </w:rPr>
        <w:fldChar w:fldCharType="begin"/>
      </w:r>
      <w:r w:rsidRPr="009011F2">
        <w:rPr>
          <w:rFonts w:ascii="宋体" w:eastAsia="宋体" w:hAnsi="宋体" w:cs="宋体"/>
          <w:color w:val="000000"/>
          <w:kern w:val="0"/>
          <w:sz w:val="19"/>
          <w:szCs w:val="19"/>
        </w:rPr>
        <w:instrText xml:space="preserve"> HYPERLINK "http://data.eastmoney.com/cjsj/yhll.html" \t "_blank" </w:instrText>
      </w:r>
      <w:r w:rsidRPr="009011F2">
        <w:rPr>
          <w:rFonts w:ascii="宋体" w:eastAsia="宋体" w:hAnsi="宋体" w:cs="宋体"/>
          <w:color w:val="000000"/>
          <w:kern w:val="0"/>
          <w:sz w:val="19"/>
          <w:szCs w:val="19"/>
        </w:rPr>
        <w:fldChar w:fldCharType="separate"/>
      </w:r>
      <w:r w:rsidRPr="009011F2">
        <w:rPr>
          <w:rFonts w:ascii="宋体" w:eastAsia="宋体" w:hAnsi="宋体" w:cs="宋体" w:hint="eastAsia"/>
          <w:color w:val="043396"/>
          <w:kern w:val="0"/>
          <w:sz w:val="19"/>
          <w:u w:val="single"/>
        </w:rPr>
        <w:t>利率</w:t>
      </w:r>
      <w:r w:rsidRPr="009011F2">
        <w:rPr>
          <w:rFonts w:ascii="宋体" w:eastAsia="宋体" w:hAnsi="宋体" w:cs="宋体"/>
          <w:color w:val="000000"/>
          <w:kern w:val="0"/>
          <w:sz w:val="19"/>
          <w:szCs w:val="19"/>
        </w:rPr>
        <w:fldChar w:fldCharType="end"/>
      </w:r>
      <w:r w:rsidRPr="009011F2">
        <w:rPr>
          <w:rFonts w:ascii="宋体" w:eastAsia="宋体" w:hAnsi="宋体" w:cs="宋体" w:hint="eastAsia"/>
          <w:color w:val="000000"/>
          <w:kern w:val="0"/>
          <w:sz w:val="19"/>
          <w:szCs w:val="19"/>
        </w:rPr>
        <w:t>目标区间上调25个基点到0.75%至1.00%水平，符合市场普遍预期，这也是2015年底以来第三次加息。</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此外，中国央行今日进行的MLF和</w:t>
      </w:r>
      <w:proofErr w:type="gramStart"/>
      <w:r w:rsidRPr="009011F2">
        <w:rPr>
          <w:rFonts w:ascii="宋体" w:eastAsia="宋体" w:hAnsi="宋体" w:cs="宋体" w:hint="eastAsia"/>
          <w:color w:val="000000"/>
          <w:kern w:val="0"/>
          <w:sz w:val="19"/>
          <w:szCs w:val="19"/>
        </w:rPr>
        <w:t>逆回购</w:t>
      </w:r>
      <w:proofErr w:type="gramEnd"/>
      <w:r w:rsidRPr="009011F2">
        <w:rPr>
          <w:rFonts w:ascii="宋体" w:eastAsia="宋体" w:hAnsi="宋体" w:cs="宋体" w:hint="eastAsia"/>
          <w:color w:val="000000"/>
          <w:kern w:val="0"/>
          <w:sz w:val="19"/>
          <w:szCs w:val="19"/>
        </w:rPr>
        <w:t>操作</w:t>
      </w:r>
      <w:r w:rsidRPr="009011F2">
        <w:rPr>
          <w:rFonts w:ascii="宋体" w:eastAsia="宋体" w:hAnsi="宋体" w:cs="宋体"/>
          <w:color w:val="000000"/>
          <w:kern w:val="0"/>
          <w:sz w:val="19"/>
          <w:szCs w:val="19"/>
        </w:rPr>
        <w:fldChar w:fldCharType="begin"/>
      </w:r>
      <w:r w:rsidRPr="009011F2">
        <w:rPr>
          <w:rFonts w:ascii="宋体" w:eastAsia="宋体" w:hAnsi="宋体" w:cs="宋体"/>
          <w:color w:val="000000"/>
          <w:kern w:val="0"/>
          <w:sz w:val="19"/>
          <w:szCs w:val="19"/>
        </w:rPr>
        <w:instrText xml:space="preserve"> HYPERLINK "http://data.eastmoney.com/cjsj/yhll.html" \t "_blank" </w:instrText>
      </w:r>
      <w:r w:rsidRPr="009011F2">
        <w:rPr>
          <w:rFonts w:ascii="宋体" w:eastAsia="宋体" w:hAnsi="宋体" w:cs="宋体"/>
          <w:color w:val="000000"/>
          <w:kern w:val="0"/>
          <w:sz w:val="19"/>
          <w:szCs w:val="19"/>
        </w:rPr>
        <w:fldChar w:fldCharType="separate"/>
      </w:r>
      <w:r w:rsidRPr="009011F2">
        <w:rPr>
          <w:rFonts w:ascii="宋体" w:eastAsia="宋体" w:hAnsi="宋体" w:cs="宋体" w:hint="eastAsia"/>
          <w:color w:val="043396"/>
          <w:kern w:val="0"/>
          <w:sz w:val="19"/>
          <w:u w:val="single"/>
        </w:rPr>
        <w:t>利率</w:t>
      </w:r>
      <w:r w:rsidRPr="009011F2">
        <w:rPr>
          <w:rFonts w:ascii="宋体" w:eastAsia="宋体" w:hAnsi="宋体" w:cs="宋体"/>
          <w:color w:val="000000"/>
          <w:kern w:val="0"/>
          <w:sz w:val="19"/>
          <w:szCs w:val="19"/>
        </w:rPr>
        <w:fldChar w:fldCharType="end"/>
      </w:r>
      <w:r w:rsidRPr="009011F2">
        <w:rPr>
          <w:rFonts w:ascii="宋体" w:eastAsia="宋体" w:hAnsi="宋体" w:cs="宋体" w:hint="eastAsia"/>
          <w:color w:val="000000"/>
          <w:kern w:val="0"/>
          <w:sz w:val="19"/>
          <w:szCs w:val="19"/>
        </w:rPr>
        <w:t>上调了10个基点，央行表示，此次公开市场逆回购及MLF中标利率上行是市场化招投标的结果；中标利率上行并不是加息，观察是否加息要看是否调整存贷款基准利率。</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对于后市大盘走向，机构纷纷发表看法。</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w:t>
      </w:r>
      <w:r w:rsidRPr="009011F2">
        <w:rPr>
          <w:rFonts w:ascii="宋体" w:eastAsia="宋体" w:hAnsi="宋体" w:cs="宋体" w:hint="eastAsia"/>
          <w:b/>
          <w:bCs/>
          <w:color w:val="000000"/>
          <w:kern w:val="0"/>
          <w:sz w:val="19"/>
        </w:rPr>
        <w:t xml:space="preserve">摩根士丹利：A股今年将站上4400 </w:t>
      </w:r>
      <w:proofErr w:type="gramStart"/>
      <w:r w:rsidRPr="009011F2">
        <w:rPr>
          <w:rFonts w:ascii="宋体" w:eastAsia="宋体" w:hAnsi="宋体" w:cs="宋体" w:hint="eastAsia"/>
          <w:b/>
          <w:bCs/>
          <w:color w:val="000000"/>
          <w:kern w:val="0"/>
          <w:sz w:val="19"/>
        </w:rPr>
        <w:t>入摩概率超</w:t>
      </w:r>
      <w:proofErr w:type="gramEnd"/>
      <w:r w:rsidRPr="009011F2">
        <w:rPr>
          <w:rFonts w:ascii="宋体" w:eastAsia="宋体" w:hAnsi="宋体" w:cs="宋体" w:hint="eastAsia"/>
          <w:b/>
          <w:bCs/>
          <w:color w:val="000000"/>
          <w:kern w:val="0"/>
          <w:sz w:val="19"/>
        </w:rPr>
        <w:t>50%</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A</w:t>
      </w:r>
      <w:proofErr w:type="gramStart"/>
      <w:r w:rsidRPr="009011F2">
        <w:rPr>
          <w:rFonts w:ascii="宋体" w:eastAsia="宋体" w:hAnsi="宋体" w:cs="宋体" w:hint="eastAsia"/>
          <w:color w:val="000000"/>
          <w:kern w:val="0"/>
          <w:sz w:val="19"/>
          <w:szCs w:val="19"/>
        </w:rPr>
        <w:t>股入摩评估</w:t>
      </w:r>
      <w:proofErr w:type="gramEnd"/>
      <w:r w:rsidRPr="009011F2">
        <w:rPr>
          <w:rFonts w:ascii="宋体" w:eastAsia="宋体" w:hAnsi="宋体" w:cs="宋体" w:hint="eastAsia"/>
          <w:color w:val="000000"/>
          <w:kern w:val="0"/>
          <w:sz w:val="19"/>
          <w:szCs w:val="19"/>
        </w:rPr>
        <w:t>在即，摩根士丹利本周发表报告称，A股今年被纳入MSCI新兴市场指数的概率超过50%，且未来10年，整个中资股在MSCI新兴市场指数中的权重或会超过40%。</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摩根士丹利在报告中重申维持A股今年4400点预期。</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报告并预计，未来36个月内中国国债将获得纳入如彭博巴克莱Global </w:t>
      </w:r>
      <w:proofErr w:type="spellStart"/>
      <w:r w:rsidRPr="009011F2">
        <w:rPr>
          <w:rFonts w:ascii="宋体" w:eastAsia="宋体" w:hAnsi="宋体" w:cs="宋体" w:hint="eastAsia"/>
          <w:color w:val="000000"/>
          <w:kern w:val="0"/>
          <w:sz w:val="19"/>
          <w:szCs w:val="19"/>
        </w:rPr>
        <w:t>Agg</w:t>
      </w:r>
      <w:proofErr w:type="spellEnd"/>
      <w:r w:rsidRPr="009011F2">
        <w:rPr>
          <w:rFonts w:ascii="宋体" w:eastAsia="宋体" w:hAnsi="宋体" w:cs="宋体" w:hint="eastAsia"/>
          <w:color w:val="000000"/>
          <w:kern w:val="0"/>
          <w:sz w:val="19"/>
          <w:szCs w:val="19"/>
        </w:rPr>
        <w:t>或花旗WGBI的主要债券指数的资格，权重为3%至5%。届时将有2500亿至3000亿美元(约1.73</w:t>
      </w:r>
      <w:proofErr w:type="gramStart"/>
      <w:r w:rsidRPr="009011F2">
        <w:rPr>
          <w:rFonts w:ascii="宋体" w:eastAsia="宋体" w:hAnsi="宋体" w:cs="宋体" w:hint="eastAsia"/>
          <w:color w:val="000000"/>
          <w:kern w:val="0"/>
          <w:sz w:val="19"/>
          <w:szCs w:val="19"/>
        </w:rPr>
        <w:t>万亿</w:t>
      </w:r>
      <w:proofErr w:type="gramEnd"/>
      <w:r w:rsidRPr="009011F2">
        <w:rPr>
          <w:rFonts w:ascii="宋体" w:eastAsia="宋体" w:hAnsi="宋体" w:cs="宋体" w:hint="eastAsia"/>
          <w:color w:val="000000"/>
          <w:kern w:val="0"/>
          <w:sz w:val="19"/>
          <w:szCs w:val="19"/>
        </w:rPr>
        <w:t>至2.07</w:t>
      </w:r>
      <w:proofErr w:type="gramStart"/>
      <w:r w:rsidRPr="009011F2">
        <w:rPr>
          <w:rFonts w:ascii="宋体" w:eastAsia="宋体" w:hAnsi="宋体" w:cs="宋体" w:hint="eastAsia"/>
          <w:color w:val="000000"/>
          <w:kern w:val="0"/>
          <w:sz w:val="19"/>
          <w:szCs w:val="19"/>
        </w:rPr>
        <w:t>万亿</w:t>
      </w:r>
      <w:proofErr w:type="gramEnd"/>
      <w:r w:rsidRPr="009011F2">
        <w:rPr>
          <w:rFonts w:ascii="宋体" w:eastAsia="宋体" w:hAnsi="宋体" w:cs="宋体" w:hint="eastAsia"/>
          <w:color w:val="000000"/>
          <w:kern w:val="0"/>
          <w:sz w:val="19"/>
          <w:szCs w:val="19"/>
        </w:rPr>
        <w:t>元人民币)流入中国境内债券市场。</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MSCI将定于今年6月中旬再次宣布是否纳入A股。</w:t>
      </w:r>
      <w:r w:rsidRPr="009011F2">
        <w:rPr>
          <w:rFonts w:ascii="宋体" w:eastAsia="宋体" w:hAnsi="宋体" w:cs="宋体" w:hint="eastAsia"/>
          <w:color w:val="FFFFFF" w:themeColor="background1"/>
          <w:kern w:val="0"/>
          <w:sz w:val="19"/>
          <w:szCs w:val="19"/>
          <w:shd w:val="clear" w:color="auto" w:fill="C00000"/>
        </w:rPr>
        <w:t>摩根士丹利报告称，中国监管部门在过去几个月对于停牌重组时间限制方面取得了很大的进步，这有利于增加A股纳入可能</w:t>
      </w:r>
      <w:r w:rsidRPr="009011F2">
        <w:rPr>
          <w:rFonts w:ascii="宋体" w:eastAsia="宋体" w:hAnsi="宋体" w:cs="宋体" w:hint="eastAsia"/>
          <w:color w:val="000000"/>
          <w:kern w:val="0"/>
          <w:sz w:val="19"/>
          <w:szCs w:val="19"/>
        </w:rPr>
        <w:t>，虽然A股在新兴市场指数的比重初期仅1%，但估计10年后，连同海外上市的中资股，比重将提升至逾40%。</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w:t>
      </w:r>
      <w:r w:rsidRPr="009011F2">
        <w:rPr>
          <w:rFonts w:ascii="宋体" w:eastAsia="宋体" w:hAnsi="宋体" w:cs="宋体" w:hint="eastAsia"/>
          <w:b/>
          <w:bCs/>
          <w:color w:val="000000"/>
          <w:kern w:val="0"/>
          <w:sz w:val="19"/>
        </w:rPr>
        <w:t>方正证券：我们站在新周期牛市起点，每次回调都值得买</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方正证券首席经济学家任泽平表示，美联储加息靴子落地，美股商品上涨，我们重申经济复苏持续时间和</w:t>
      </w:r>
      <w:proofErr w:type="gramStart"/>
      <w:r w:rsidRPr="009011F2">
        <w:rPr>
          <w:rFonts w:ascii="宋体" w:eastAsia="宋体" w:hAnsi="宋体" w:cs="宋体" w:hint="eastAsia"/>
          <w:color w:val="000000"/>
          <w:kern w:val="0"/>
          <w:sz w:val="19"/>
          <w:szCs w:val="19"/>
        </w:rPr>
        <w:t>力度超</w:t>
      </w:r>
      <w:proofErr w:type="gramEnd"/>
      <w:r w:rsidRPr="009011F2">
        <w:rPr>
          <w:rFonts w:ascii="宋体" w:eastAsia="宋体" w:hAnsi="宋体" w:cs="宋体" w:hint="eastAsia"/>
          <w:color w:val="000000"/>
          <w:kern w:val="0"/>
          <w:sz w:val="19"/>
          <w:szCs w:val="19"/>
        </w:rPr>
        <w:t>预期，A股结构性牛市=新周期+低估值</w:t>
      </w:r>
      <w:proofErr w:type="gramStart"/>
      <w:r w:rsidRPr="009011F2">
        <w:rPr>
          <w:rFonts w:ascii="宋体" w:eastAsia="宋体" w:hAnsi="宋体" w:cs="宋体" w:hint="eastAsia"/>
          <w:color w:val="000000"/>
          <w:kern w:val="0"/>
          <w:sz w:val="19"/>
          <w:szCs w:val="19"/>
        </w:rPr>
        <w:t>真成长</w:t>
      </w:r>
      <w:proofErr w:type="gramEnd"/>
      <w:r w:rsidRPr="009011F2">
        <w:rPr>
          <w:rFonts w:ascii="宋体" w:eastAsia="宋体" w:hAnsi="宋体" w:cs="宋体" w:hint="eastAsia"/>
          <w:color w:val="000000"/>
          <w:kern w:val="0"/>
          <w:sz w:val="19"/>
          <w:szCs w:val="19"/>
        </w:rPr>
        <w:t>+改革。每一次回眸都令人心动，每一次回调都值得买入。</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为什么我们的观点与众不同？自去年四季度以来，市场上重回衰退和通缩的观点此起彼伏，作为这轮行情最早最坚定的推荐者，我们在2016年4季度市提出“买股票抗通胀、买抗通胀的股票”、看多股市看空债市，2017年初提出曙光乍现、中游崛起、新常态新周期新牛市、债市仍需等待，2月下旬以来推荐低估值真成长。</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lastRenderedPageBreak/>
        <w:t xml:space="preserve">　　为什么我们的逻辑与众不同？由于实际贷款利率较低、出口复苏、制造业投资改善、房地产投资回升、地方政府换届后基建投资冲动等，实际</w:t>
      </w:r>
      <w:hyperlink r:id="rId18" w:tgtFrame="_blank" w:history="1">
        <w:r w:rsidRPr="009011F2">
          <w:rPr>
            <w:rFonts w:ascii="宋体" w:eastAsia="宋体" w:hAnsi="宋体" w:cs="宋体" w:hint="eastAsia"/>
            <w:color w:val="043396"/>
            <w:kern w:val="0"/>
            <w:sz w:val="19"/>
            <w:u w:val="single"/>
          </w:rPr>
          <w:t>GDP</w:t>
        </w:r>
      </w:hyperlink>
      <w:r w:rsidRPr="009011F2">
        <w:rPr>
          <w:rFonts w:ascii="宋体" w:eastAsia="宋体" w:hAnsi="宋体" w:cs="宋体" w:hint="eastAsia"/>
          <w:color w:val="000000"/>
          <w:kern w:val="0"/>
          <w:sz w:val="19"/>
          <w:szCs w:val="19"/>
        </w:rPr>
        <w:t>增速L型、名义GDP增速U型，维持中期战略看多A股结构性牛市=新周期+低估值</w:t>
      </w:r>
      <w:proofErr w:type="gramStart"/>
      <w:r w:rsidRPr="009011F2">
        <w:rPr>
          <w:rFonts w:ascii="宋体" w:eastAsia="宋体" w:hAnsi="宋体" w:cs="宋体" w:hint="eastAsia"/>
          <w:color w:val="000000"/>
          <w:kern w:val="0"/>
          <w:sz w:val="19"/>
          <w:szCs w:val="19"/>
        </w:rPr>
        <w:t>真成长</w:t>
      </w:r>
      <w:proofErr w:type="gramEnd"/>
      <w:r w:rsidRPr="009011F2">
        <w:rPr>
          <w:rFonts w:ascii="宋体" w:eastAsia="宋体" w:hAnsi="宋体" w:cs="宋体" w:hint="eastAsia"/>
          <w:color w:val="000000"/>
          <w:kern w:val="0"/>
          <w:sz w:val="19"/>
          <w:szCs w:val="19"/>
        </w:rPr>
        <w:t>判断。旗帜鲜明将周期进行到底，更为重要的是供给出清企业业绩持续改善“新5%比旧8%好”，剩者为王，强者恒强，寻找中国的漂亮50。从中长期角度，中国经济可能已经告别了过去长达6年的去产能、通缩和资产负债表调整，我们正站在新周期牛市的起点上，未来已来。</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w:t>
      </w:r>
      <w:proofErr w:type="gramStart"/>
      <w:r w:rsidRPr="009011F2">
        <w:rPr>
          <w:rFonts w:ascii="宋体" w:eastAsia="宋体" w:hAnsi="宋体" w:cs="宋体" w:hint="eastAsia"/>
          <w:b/>
          <w:bCs/>
          <w:color w:val="000000"/>
          <w:kern w:val="0"/>
          <w:sz w:val="19"/>
        </w:rPr>
        <w:t>国元证券</w:t>
      </w:r>
      <w:proofErr w:type="gramEnd"/>
      <w:r w:rsidRPr="009011F2">
        <w:rPr>
          <w:rFonts w:ascii="宋体" w:eastAsia="宋体" w:hAnsi="宋体" w:cs="宋体" w:hint="eastAsia"/>
          <w:b/>
          <w:bCs/>
          <w:color w:val="000000"/>
          <w:kern w:val="0"/>
          <w:sz w:val="19"/>
        </w:rPr>
        <w:t>：春季红利仍将兑现，重心转向成长股</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目前春季行情仍在继续演绎，一方面投资者要保持信心，另一方面也要认识到春季行情的重心已经转向成长股。而由于本轮行情主要围绕企业业绩改善逻辑，在年报和</w:t>
      </w:r>
      <w:proofErr w:type="gramStart"/>
      <w:r w:rsidRPr="009011F2">
        <w:rPr>
          <w:rFonts w:ascii="宋体" w:eastAsia="宋体" w:hAnsi="宋体" w:cs="宋体" w:hint="eastAsia"/>
          <w:color w:val="000000"/>
          <w:kern w:val="0"/>
          <w:sz w:val="19"/>
          <w:szCs w:val="19"/>
        </w:rPr>
        <w:t>一</w:t>
      </w:r>
      <w:proofErr w:type="gramEnd"/>
      <w:r w:rsidRPr="009011F2">
        <w:rPr>
          <w:rFonts w:ascii="宋体" w:eastAsia="宋体" w:hAnsi="宋体" w:cs="宋体" w:hint="eastAsia"/>
          <w:color w:val="000000"/>
          <w:kern w:val="0"/>
          <w:sz w:val="19"/>
          <w:szCs w:val="19"/>
        </w:rPr>
        <w:t>季报业绩披露结束之前，本轮春季行情的红利就不会完全兑现。换句话说，在“五一”之前都属于春季行情范畴。</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美联储3月份是否会加息可以分两个层面来看：第一个层面，无论是否加息，尘埃落定后市场将如何演变？我们认为，加息时点过后情绪面的不确定因素也就消失了；第二个层面，如果美联储加息，将会通过什么途径影响A股市场？市场主流观点认为，从资本流动角度来看，将加剧资金进出的波动，同时对我国货币政策的压力加大。</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我们认为，投资者对于资金进出的波动无须过于担忧。自</w:t>
      </w:r>
      <w:proofErr w:type="gramStart"/>
      <w:r w:rsidRPr="009011F2">
        <w:rPr>
          <w:rFonts w:ascii="宋体" w:eastAsia="宋体" w:hAnsi="宋体" w:cs="宋体" w:hint="eastAsia"/>
          <w:color w:val="000000"/>
          <w:kern w:val="0"/>
          <w:sz w:val="19"/>
          <w:szCs w:val="19"/>
        </w:rPr>
        <w:t>“8·11”汇改以来</w:t>
      </w:r>
      <w:proofErr w:type="gramEnd"/>
      <w:r w:rsidRPr="009011F2">
        <w:rPr>
          <w:rFonts w:ascii="宋体" w:eastAsia="宋体" w:hAnsi="宋体" w:cs="宋体" w:hint="eastAsia"/>
          <w:color w:val="000000"/>
          <w:kern w:val="0"/>
          <w:sz w:val="19"/>
          <w:szCs w:val="19"/>
        </w:rPr>
        <w:t>，</w:t>
      </w:r>
      <w:hyperlink r:id="rId19" w:tgtFrame="_blank" w:history="1">
        <w:r w:rsidRPr="009011F2">
          <w:rPr>
            <w:rFonts w:ascii="宋体" w:eastAsia="宋体" w:hAnsi="宋体" w:cs="宋体" w:hint="eastAsia"/>
            <w:color w:val="043396"/>
            <w:kern w:val="0"/>
            <w:sz w:val="19"/>
            <w:u w:val="single"/>
          </w:rPr>
          <w:t>人民币汇率</w:t>
        </w:r>
      </w:hyperlink>
      <w:r w:rsidRPr="009011F2">
        <w:rPr>
          <w:rFonts w:ascii="宋体" w:eastAsia="宋体" w:hAnsi="宋体" w:cs="宋体" w:hint="eastAsia"/>
          <w:color w:val="000000"/>
          <w:kern w:val="0"/>
          <w:sz w:val="19"/>
          <w:szCs w:val="19"/>
        </w:rPr>
        <w:t>的波动幅度和持续时间都比较充分，这种担心并不是一个新的因素。我们可以看到，今年以来人民币汇率小幅升值，最新数据显示，我国</w:t>
      </w:r>
      <w:hyperlink r:id="rId20" w:tgtFrame="_blank" w:history="1">
        <w:r w:rsidRPr="009011F2">
          <w:rPr>
            <w:rFonts w:ascii="宋体" w:eastAsia="宋体" w:hAnsi="宋体" w:cs="宋体" w:hint="eastAsia"/>
            <w:color w:val="043396"/>
            <w:kern w:val="0"/>
            <w:sz w:val="19"/>
            <w:u w:val="single"/>
          </w:rPr>
          <w:t>外汇储备</w:t>
        </w:r>
      </w:hyperlink>
      <w:r w:rsidRPr="009011F2">
        <w:rPr>
          <w:rFonts w:ascii="宋体" w:eastAsia="宋体" w:hAnsi="宋体" w:cs="宋体" w:hint="eastAsia"/>
          <w:color w:val="000000"/>
          <w:kern w:val="0"/>
          <w:sz w:val="19"/>
          <w:szCs w:val="19"/>
        </w:rPr>
        <w:t>重回3</w:t>
      </w:r>
      <w:proofErr w:type="gramStart"/>
      <w:r w:rsidRPr="009011F2">
        <w:rPr>
          <w:rFonts w:ascii="宋体" w:eastAsia="宋体" w:hAnsi="宋体" w:cs="宋体" w:hint="eastAsia"/>
          <w:color w:val="000000"/>
          <w:kern w:val="0"/>
          <w:sz w:val="19"/>
          <w:szCs w:val="19"/>
        </w:rPr>
        <w:t>万亿</w:t>
      </w:r>
      <w:proofErr w:type="gramEnd"/>
      <w:r w:rsidRPr="009011F2">
        <w:rPr>
          <w:rFonts w:ascii="宋体" w:eastAsia="宋体" w:hAnsi="宋体" w:cs="宋体" w:hint="eastAsia"/>
          <w:color w:val="000000"/>
          <w:kern w:val="0"/>
          <w:sz w:val="19"/>
          <w:szCs w:val="19"/>
        </w:rPr>
        <w:t>美元；至于我国的货币政策，从政府工作报告的表述和最新的信贷数据来看，实际上也比较明确——总体呈稳健中性，但资金价格会保持温和上涨或者说基本稳定态势。</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w:t>
      </w:r>
      <w:r w:rsidRPr="009011F2">
        <w:rPr>
          <w:rFonts w:ascii="宋体" w:eastAsia="宋体" w:hAnsi="宋体" w:cs="宋体" w:hint="eastAsia"/>
          <w:b/>
          <w:bCs/>
          <w:color w:val="000000"/>
          <w:kern w:val="0"/>
          <w:sz w:val="19"/>
        </w:rPr>
        <w:t>海通证券：牛市有多远？</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海通证券的荀玉根的基本观点为，1990年来A</w:t>
      </w:r>
      <w:proofErr w:type="gramStart"/>
      <w:r w:rsidRPr="009011F2">
        <w:rPr>
          <w:rFonts w:ascii="宋体" w:eastAsia="宋体" w:hAnsi="宋体" w:cs="宋体" w:hint="eastAsia"/>
          <w:color w:val="000000"/>
          <w:kern w:val="0"/>
          <w:sz w:val="19"/>
          <w:szCs w:val="19"/>
        </w:rPr>
        <w:t>股经历</w:t>
      </w:r>
      <w:proofErr w:type="gramEnd"/>
      <w:r w:rsidRPr="009011F2">
        <w:rPr>
          <w:rFonts w:ascii="宋体" w:eastAsia="宋体" w:hAnsi="宋体" w:cs="宋体" w:hint="eastAsia"/>
          <w:color w:val="000000"/>
          <w:kern w:val="0"/>
          <w:sz w:val="19"/>
          <w:szCs w:val="19"/>
        </w:rPr>
        <w:t>了五轮牛熊震荡，牛市时间占比37%、平均持续19个月，熊市为20%、10个月，震荡市为43%、24个月。这轮震荡市始于16年1月底，对比过去牛市的DDM分析，未来水牛难现，只可能有盈利牛，估值结构性高也要盈利消化，仍需要时间确认数据。</w:t>
      </w:r>
      <w:r w:rsidRPr="009011F2">
        <w:rPr>
          <w:rFonts w:ascii="宋体" w:eastAsia="宋体" w:hAnsi="宋体" w:cs="宋体" w:hint="eastAsia"/>
          <w:color w:val="FFFFFF" w:themeColor="background1"/>
          <w:kern w:val="0"/>
          <w:sz w:val="19"/>
          <w:szCs w:val="19"/>
          <w:shd w:val="clear" w:color="auto" w:fill="C00000"/>
        </w:rPr>
        <w:t>上半年是进二退</w:t>
      </w:r>
      <w:proofErr w:type="gramStart"/>
      <w:r w:rsidRPr="009011F2">
        <w:rPr>
          <w:rFonts w:ascii="宋体" w:eastAsia="宋体" w:hAnsi="宋体" w:cs="宋体" w:hint="eastAsia"/>
          <w:color w:val="FFFFFF" w:themeColor="background1"/>
          <w:kern w:val="0"/>
          <w:sz w:val="19"/>
          <w:szCs w:val="19"/>
          <w:shd w:val="clear" w:color="auto" w:fill="C00000"/>
        </w:rPr>
        <w:t>一</w:t>
      </w:r>
      <w:proofErr w:type="gramEnd"/>
      <w:r w:rsidRPr="009011F2">
        <w:rPr>
          <w:rFonts w:ascii="宋体" w:eastAsia="宋体" w:hAnsi="宋体" w:cs="宋体" w:hint="eastAsia"/>
          <w:color w:val="FFFFFF" w:themeColor="background1"/>
          <w:kern w:val="0"/>
          <w:sz w:val="19"/>
          <w:szCs w:val="19"/>
          <w:shd w:val="clear" w:color="auto" w:fill="C00000"/>
        </w:rPr>
        <w:t>的震荡市，春季行情继续，二</w:t>
      </w:r>
      <w:proofErr w:type="gramStart"/>
      <w:r w:rsidRPr="009011F2">
        <w:rPr>
          <w:rFonts w:ascii="宋体" w:eastAsia="宋体" w:hAnsi="宋体" w:cs="宋体" w:hint="eastAsia"/>
          <w:color w:val="FFFFFF" w:themeColor="background1"/>
          <w:kern w:val="0"/>
          <w:sz w:val="19"/>
          <w:szCs w:val="19"/>
          <w:shd w:val="clear" w:color="auto" w:fill="C00000"/>
        </w:rPr>
        <w:t>维投资</w:t>
      </w:r>
      <w:proofErr w:type="gramEnd"/>
      <w:r w:rsidRPr="009011F2">
        <w:rPr>
          <w:rFonts w:ascii="宋体" w:eastAsia="宋体" w:hAnsi="宋体" w:cs="宋体" w:hint="eastAsia"/>
          <w:color w:val="FFFFFF" w:themeColor="background1"/>
          <w:kern w:val="0"/>
          <w:sz w:val="19"/>
          <w:szCs w:val="19"/>
          <w:shd w:val="clear" w:color="auto" w:fill="C00000"/>
        </w:rPr>
        <w:t>时代各领域精选细分方向，消费升级+主题周期+价值成长</w:t>
      </w:r>
      <w:r w:rsidRPr="009011F2">
        <w:rPr>
          <w:rFonts w:ascii="宋体" w:eastAsia="宋体" w:hAnsi="宋体" w:cs="宋体" w:hint="eastAsia"/>
          <w:color w:val="000000"/>
          <w:kern w:val="0"/>
          <w:sz w:val="19"/>
          <w:szCs w:val="19"/>
        </w:rPr>
        <w:t>。</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未来牛市的动力在哪里？荀玉根分析指出：</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(1)利率(流动性)：“水牛”难以再现。从14年初以来10年期国债收益率从4.6%的高点趋势性下行，直至16年8月降至最低的2.7%，无风险利率已经经历了一轮大幅下行。而且从16年8月份以来，市场资金成本开始缓慢抬升，其中7天回购利率已从2.5%左右升至3%，10年期国债收益率回升至3.3%。17年2月央行上调7天逆回购招标利率10bp，意味着在货币政策已经开始转向中性稳健，利率再次大幅下行驱动“水牛”的可能性已经很小。</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lastRenderedPageBreak/>
        <w:t xml:space="preserve">　　(2)基本面：盈利牛、转型</w:t>
      </w:r>
      <w:proofErr w:type="gramStart"/>
      <w:r w:rsidRPr="009011F2">
        <w:rPr>
          <w:rFonts w:ascii="宋体" w:eastAsia="宋体" w:hAnsi="宋体" w:cs="宋体" w:hint="eastAsia"/>
          <w:color w:val="000000"/>
          <w:kern w:val="0"/>
          <w:sz w:val="19"/>
          <w:szCs w:val="19"/>
        </w:rPr>
        <w:t>牛值得</w:t>
      </w:r>
      <w:proofErr w:type="gramEnd"/>
      <w:r w:rsidRPr="009011F2">
        <w:rPr>
          <w:rFonts w:ascii="宋体" w:eastAsia="宋体" w:hAnsi="宋体" w:cs="宋体" w:hint="eastAsia"/>
          <w:color w:val="000000"/>
          <w:kern w:val="0"/>
          <w:sz w:val="19"/>
          <w:szCs w:val="19"/>
        </w:rPr>
        <w:t>期待。16年三季度A股归属母公司净利润累计同比分别为1.9%，较中报的-4.6%明显回升，剔除金融后数据为12.7%和1.0%，同样明显回升。主板、中小板、创业板的三季度归母净利累计同比分别为-0.4%、21%、43%，相对二季度的</w:t>
      </w:r>
      <w:proofErr w:type="gramStart"/>
      <w:r w:rsidRPr="009011F2">
        <w:rPr>
          <w:rFonts w:ascii="宋体" w:eastAsia="宋体" w:hAnsi="宋体" w:cs="宋体" w:hint="eastAsia"/>
          <w:color w:val="000000"/>
          <w:kern w:val="0"/>
          <w:sz w:val="19"/>
          <w:szCs w:val="19"/>
        </w:rPr>
        <w:t>的</w:t>
      </w:r>
      <w:proofErr w:type="gramEnd"/>
      <w:r w:rsidRPr="009011F2">
        <w:rPr>
          <w:rFonts w:ascii="宋体" w:eastAsia="宋体" w:hAnsi="宋体" w:cs="宋体" w:hint="eastAsia"/>
          <w:color w:val="000000"/>
          <w:kern w:val="0"/>
          <w:sz w:val="19"/>
          <w:szCs w:val="19"/>
        </w:rPr>
        <w:t>-6.9%、13%、48.5%，也在改善。2016年工业企业利润同样大幅改善，利润总额同比增速从15年的-2.3%回升至8.5%。只是展望未来，盈利的改善能否持续，市场分歧很大，多数</w:t>
      </w:r>
      <w:hyperlink r:id="rId21" w:tgtFrame="_blank" w:history="1">
        <w:r w:rsidRPr="009011F2">
          <w:rPr>
            <w:rFonts w:ascii="宋体" w:eastAsia="宋体" w:hAnsi="宋体" w:cs="宋体" w:hint="eastAsia"/>
            <w:color w:val="043396"/>
            <w:kern w:val="0"/>
            <w:sz w:val="19"/>
            <w:u w:val="single"/>
          </w:rPr>
          <w:t>分析师</w:t>
        </w:r>
      </w:hyperlink>
      <w:r w:rsidRPr="009011F2">
        <w:rPr>
          <w:rFonts w:ascii="宋体" w:eastAsia="宋体" w:hAnsi="宋体" w:cs="宋体" w:hint="eastAsia"/>
          <w:color w:val="000000"/>
          <w:kern w:val="0"/>
          <w:sz w:val="19"/>
          <w:szCs w:val="19"/>
        </w:rPr>
        <w:t>和投资者心存疑虑，我们认为2017年企业盈利改善有望持续，《2017年盈利分析系列1-3》中我们分析指出，A股净利润同比2017年有望达8%，高于2016年的2-3%，经历2010年到2012年中的下滑阶段，2012年中以来的震荡走平阶段，企业盈利有望逐步迎来中期向上的拐点。6.5%左右的GDP目标预示着宏观面平稳，虽然</w:t>
      </w:r>
      <w:hyperlink r:id="rId22" w:tgtFrame="_blank" w:history="1">
        <w:r w:rsidRPr="009011F2">
          <w:rPr>
            <w:rFonts w:ascii="宋体" w:eastAsia="宋体" w:hAnsi="宋体" w:cs="宋体" w:hint="eastAsia"/>
            <w:color w:val="043396"/>
            <w:kern w:val="0"/>
            <w:sz w:val="19"/>
            <w:u w:val="single"/>
          </w:rPr>
          <w:t>固定资产投资</w:t>
        </w:r>
      </w:hyperlink>
      <w:r w:rsidRPr="009011F2">
        <w:rPr>
          <w:rFonts w:ascii="宋体" w:eastAsia="宋体" w:hAnsi="宋体" w:cs="宋体" w:hint="eastAsia"/>
          <w:color w:val="000000"/>
          <w:kern w:val="0"/>
          <w:sz w:val="19"/>
          <w:szCs w:val="19"/>
        </w:rPr>
        <w:t>平稳，但消费和出口增速在改善，尤其是周期行业集中度上升、消费不断升级，上市公司盈利结构在优化，转型期GDP结束L的</w:t>
      </w:r>
      <w:proofErr w:type="gramStart"/>
      <w:r w:rsidRPr="009011F2">
        <w:rPr>
          <w:rFonts w:ascii="宋体" w:eastAsia="宋体" w:hAnsi="宋体" w:cs="宋体" w:hint="eastAsia"/>
          <w:color w:val="000000"/>
          <w:kern w:val="0"/>
          <w:sz w:val="19"/>
          <w:szCs w:val="19"/>
        </w:rPr>
        <w:t>竖进入</w:t>
      </w:r>
      <w:proofErr w:type="gramEnd"/>
      <w:r w:rsidRPr="009011F2">
        <w:rPr>
          <w:rFonts w:ascii="宋体" w:eastAsia="宋体" w:hAnsi="宋体" w:cs="宋体" w:hint="eastAsia"/>
          <w:color w:val="000000"/>
          <w:kern w:val="0"/>
          <w:sz w:val="19"/>
          <w:szCs w:val="19"/>
        </w:rPr>
        <w:t>横，上市公司盈利可以更好，类似70-80年代的日本。当然，盈利的数据需要中报、三季报不断确认，尤其是下半年的盈利数据需要确认。</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(3)风险偏好：等待改革再发力、</w:t>
      </w:r>
      <w:proofErr w:type="gramStart"/>
      <w:r w:rsidRPr="009011F2">
        <w:rPr>
          <w:rFonts w:ascii="宋体" w:eastAsia="宋体" w:hAnsi="宋体" w:cs="宋体" w:hint="eastAsia"/>
          <w:color w:val="000000"/>
          <w:kern w:val="0"/>
          <w:sz w:val="19"/>
          <w:szCs w:val="19"/>
        </w:rPr>
        <w:t>转型见</w:t>
      </w:r>
      <w:proofErr w:type="gramEnd"/>
      <w:r w:rsidRPr="009011F2">
        <w:rPr>
          <w:rFonts w:ascii="宋体" w:eastAsia="宋体" w:hAnsi="宋体" w:cs="宋体" w:hint="eastAsia"/>
          <w:color w:val="000000"/>
          <w:kern w:val="0"/>
          <w:sz w:val="19"/>
          <w:szCs w:val="19"/>
        </w:rPr>
        <w:t>实效。展望未来，类似于96/1-01/6、14/7-15/6、的“水牛”难以再现， 05/6-07/10的“繁荣牛”和08/10-09/8的“政策牛”再出现的可能性也很小，17年下半年将迎来十九大召开，改革与转型是希望，未来的牛市更可能是改革不断发力、转型渐见实效后，业绩改善的“盈利牛”、“转型牛”，因此未来的牛市斜率将更平缓。</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(4)估值：上证综指、上证50指数估值处于历史底部。目前上证指数、A股(剔除金融)、上证50、中小板指、创业板指的PE(TTM)分别为15倍、33倍、11倍、44倍、56倍，相对历次牛市起点各板块估值区间(8.5-18)、(14-18)、(7-15)、(20-23)、27倍而言，上证指数和上证50指数估值已经达到历史上牛市启动的水平，而A股(剔除金融)、中小板指、创业板指估值水平仍然较高。估值水平与盈利增长相关，震荡市的意义就是通过盈利增长消化估值，以时间换空间，</w:t>
      </w:r>
      <w:r w:rsidRPr="009011F2">
        <w:rPr>
          <w:rFonts w:ascii="宋体" w:eastAsia="宋体" w:hAnsi="宋体" w:cs="宋体" w:hint="eastAsia"/>
          <w:color w:val="FFFFFF" w:themeColor="background1"/>
          <w:kern w:val="0"/>
          <w:sz w:val="19"/>
          <w:szCs w:val="19"/>
          <w:shd w:val="clear" w:color="auto" w:fill="C00000"/>
        </w:rPr>
        <w:t>为未来的牛市做准备</w:t>
      </w:r>
      <w:r w:rsidRPr="009011F2">
        <w:rPr>
          <w:rFonts w:ascii="宋体" w:eastAsia="宋体" w:hAnsi="宋体" w:cs="宋体" w:hint="eastAsia"/>
          <w:color w:val="000000"/>
          <w:kern w:val="0"/>
          <w:sz w:val="19"/>
          <w:szCs w:val="19"/>
        </w:rPr>
        <w:t>，问题的核心仍然是盈利。</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投资策略上，荀玉根表示，步步为营，跟踪政策和基本面变化。无需担忧美国加息对A股的冲击，资本流动管理趋严，人民币对美元贬值压力小，对资金面和情绪面影响有限，过去15年的统计数据显示，并没有两会结束市场下跌的规律。春季行情变化一般源于基本</w:t>
      </w:r>
      <w:proofErr w:type="gramStart"/>
      <w:r w:rsidRPr="009011F2">
        <w:rPr>
          <w:rFonts w:ascii="宋体" w:eastAsia="宋体" w:hAnsi="宋体" w:cs="宋体" w:hint="eastAsia"/>
          <w:color w:val="000000"/>
          <w:kern w:val="0"/>
          <w:sz w:val="19"/>
          <w:szCs w:val="19"/>
        </w:rPr>
        <w:t>面改善</w:t>
      </w:r>
      <w:proofErr w:type="gramEnd"/>
      <w:r w:rsidRPr="009011F2">
        <w:rPr>
          <w:rFonts w:ascii="宋体" w:eastAsia="宋体" w:hAnsi="宋体" w:cs="宋体" w:hint="eastAsia"/>
          <w:color w:val="000000"/>
          <w:kern w:val="0"/>
          <w:sz w:val="19"/>
          <w:szCs w:val="19"/>
        </w:rPr>
        <w:t>被证伪或</w:t>
      </w:r>
      <w:proofErr w:type="gramStart"/>
      <w:r w:rsidRPr="009011F2">
        <w:rPr>
          <w:rFonts w:ascii="宋体" w:eastAsia="宋体" w:hAnsi="宋体" w:cs="宋体" w:hint="eastAsia"/>
          <w:color w:val="000000"/>
          <w:kern w:val="0"/>
          <w:sz w:val="19"/>
          <w:szCs w:val="19"/>
        </w:rPr>
        <w:t>政策面变紧</w:t>
      </w:r>
      <w:proofErr w:type="gramEnd"/>
      <w:r w:rsidRPr="009011F2">
        <w:rPr>
          <w:rFonts w:ascii="宋体" w:eastAsia="宋体" w:hAnsi="宋体" w:cs="宋体" w:hint="eastAsia"/>
          <w:color w:val="000000"/>
          <w:kern w:val="0"/>
          <w:sz w:val="19"/>
          <w:szCs w:val="19"/>
        </w:rPr>
        <w:t>，当前宏微观基本面数据良好，政策面优化，不用担忧，而且1月中最低点来上证综指累计涨幅才5.5%，涨幅最大的中小板指12%，创业板指9.4%，万得全A才8.3%，累计获利并不大。未来值得关注的是政策面，一季度数据好转给去杠杆提供了更好的条件，</w:t>
      </w:r>
      <w:proofErr w:type="gramStart"/>
      <w:r w:rsidRPr="009011F2">
        <w:rPr>
          <w:rFonts w:ascii="宋体" w:eastAsia="宋体" w:hAnsi="宋体" w:cs="宋体" w:hint="eastAsia"/>
          <w:color w:val="000000"/>
          <w:kern w:val="0"/>
          <w:sz w:val="19"/>
          <w:szCs w:val="19"/>
        </w:rPr>
        <w:t>特朗普</w:t>
      </w:r>
      <w:proofErr w:type="gramEnd"/>
      <w:r w:rsidRPr="009011F2">
        <w:rPr>
          <w:rFonts w:ascii="宋体" w:eastAsia="宋体" w:hAnsi="宋体" w:cs="宋体" w:hint="eastAsia"/>
          <w:color w:val="000000"/>
          <w:kern w:val="0"/>
          <w:sz w:val="19"/>
          <w:szCs w:val="19"/>
        </w:rPr>
        <w:t>百日新政推进中，关注可能出现的中美贸易摩擦。当前继续安心持仓，跟踪政策，步步为营。展望全年跟踪企业盈利改善能否持续。</w:t>
      </w:r>
    </w:p>
    <w:p w:rsidR="009011F2" w:rsidRPr="009011F2" w:rsidRDefault="009011F2" w:rsidP="009011F2">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9011F2">
        <w:rPr>
          <w:rFonts w:ascii="宋体" w:eastAsia="宋体" w:hAnsi="宋体" w:cs="宋体" w:hint="eastAsia"/>
          <w:color w:val="000000"/>
          <w:kern w:val="0"/>
          <w:sz w:val="19"/>
          <w:szCs w:val="19"/>
        </w:rPr>
        <w:t xml:space="preserve">　　具体配置上，建议均衡配置，消费升级+主题周期+价值成长。1月底2月初我们提出春季行情后，</w:t>
      </w:r>
      <w:r w:rsidRPr="009011F2">
        <w:rPr>
          <w:rFonts w:ascii="宋体" w:eastAsia="宋体" w:hAnsi="宋体" w:cs="宋体" w:hint="eastAsia"/>
          <w:color w:val="FFFFFF" w:themeColor="background1"/>
          <w:kern w:val="0"/>
          <w:sz w:val="19"/>
          <w:szCs w:val="19"/>
          <w:shd w:val="clear" w:color="auto" w:fill="C00000"/>
        </w:rPr>
        <w:t>建议以消费</w:t>
      </w:r>
      <w:proofErr w:type="gramStart"/>
      <w:r w:rsidRPr="009011F2">
        <w:rPr>
          <w:rFonts w:ascii="宋体" w:eastAsia="宋体" w:hAnsi="宋体" w:cs="宋体" w:hint="eastAsia"/>
          <w:color w:val="FFFFFF" w:themeColor="background1"/>
          <w:kern w:val="0"/>
          <w:sz w:val="19"/>
          <w:szCs w:val="19"/>
          <w:shd w:val="clear" w:color="auto" w:fill="C00000"/>
        </w:rPr>
        <w:t>类价值</w:t>
      </w:r>
      <w:proofErr w:type="gramEnd"/>
      <w:r w:rsidRPr="009011F2">
        <w:rPr>
          <w:rFonts w:ascii="宋体" w:eastAsia="宋体" w:hAnsi="宋体" w:cs="宋体" w:hint="eastAsia"/>
          <w:color w:val="FFFFFF" w:themeColor="background1"/>
          <w:kern w:val="0"/>
          <w:sz w:val="19"/>
          <w:szCs w:val="19"/>
          <w:shd w:val="clear" w:color="auto" w:fill="C00000"/>
        </w:rPr>
        <w:t>股为底仓，用一带一路、国企改革来进攻，春季行情轮涨到成长，并与行业分析</w:t>
      </w:r>
      <w:proofErr w:type="gramStart"/>
      <w:r w:rsidRPr="009011F2">
        <w:rPr>
          <w:rFonts w:ascii="宋体" w:eastAsia="宋体" w:hAnsi="宋体" w:cs="宋体" w:hint="eastAsia"/>
          <w:color w:val="FFFFFF" w:themeColor="background1"/>
          <w:kern w:val="0"/>
          <w:sz w:val="19"/>
          <w:szCs w:val="19"/>
          <w:shd w:val="clear" w:color="auto" w:fill="C00000"/>
        </w:rPr>
        <w:t>师合作</w:t>
      </w:r>
      <w:proofErr w:type="gramEnd"/>
      <w:r w:rsidRPr="009011F2">
        <w:rPr>
          <w:rFonts w:ascii="宋体" w:eastAsia="宋体" w:hAnsi="宋体" w:cs="宋体" w:hint="eastAsia"/>
          <w:color w:val="FFFFFF" w:themeColor="background1"/>
          <w:kern w:val="0"/>
          <w:sz w:val="19"/>
          <w:szCs w:val="19"/>
          <w:shd w:val="clear" w:color="auto" w:fill="C00000"/>
        </w:rPr>
        <w:t>构建12只绩优成长股</w:t>
      </w:r>
      <w:r w:rsidRPr="009011F2">
        <w:rPr>
          <w:rFonts w:ascii="宋体" w:eastAsia="宋体" w:hAnsi="宋体" w:cs="宋体" w:hint="eastAsia"/>
          <w:color w:val="000000"/>
          <w:kern w:val="0"/>
          <w:sz w:val="19"/>
          <w:szCs w:val="19"/>
        </w:rPr>
        <w:t>。行业演绎至此各行业表现已经均衡化，1月16日上证综指3044点以来涨幅居前的行业既有消费中的家电和食品饮料，又有周期中的建材和有色，还有科技中的电子和通信。当前位置建议均衡配置，A股已经进入二</w:t>
      </w:r>
      <w:proofErr w:type="gramStart"/>
      <w:r w:rsidRPr="009011F2">
        <w:rPr>
          <w:rFonts w:ascii="宋体" w:eastAsia="宋体" w:hAnsi="宋体" w:cs="宋体" w:hint="eastAsia"/>
          <w:color w:val="000000"/>
          <w:kern w:val="0"/>
          <w:sz w:val="19"/>
          <w:szCs w:val="19"/>
        </w:rPr>
        <w:t>维投资</w:t>
      </w:r>
      <w:proofErr w:type="gramEnd"/>
      <w:r w:rsidRPr="009011F2">
        <w:rPr>
          <w:rFonts w:ascii="宋体" w:eastAsia="宋体" w:hAnsi="宋体" w:cs="宋体" w:hint="eastAsia"/>
          <w:color w:val="000000"/>
          <w:kern w:val="0"/>
          <w:sz w:val="19"/>
          <w:szCs w:val="19"/>
        </w:rPr>
        <w:t>时代，以前在做行业配置、风格选择时，常常从一维角度分为周期与消费、成长与价值，</w:t>
      </w:r>
      <w:proofErr w:type="gramStart"/>
      <w:r w:rsidRPr="009011F2">
        <w:rPr>
          <w:rFonts w:ascii="宋体" w:eastAsia="宋体" w:hAnsi="宋体" w:cs="宋体" w:hint="eastAsia"/>
          <w:color w:val="000000"/>
          <w:kern w:val="0"/>
          <w:sz w:val="19"/>
          <w:szCs w:val="19"/>
        </w:rPr>
        <w:t>进攻看</w:t>
      </w:r>
      <w:proofErr w:type="gramEnd"/>
      <w:r w:rsidRPr="009011F2">
        <w:rPr>
          <w:rFonts w:ascii="宋体" w:eastAsia="宋体" w:hAnsi="宋体" w:cs="宋体" w:hint="eastAsia"/>
          <w:color w:val="000000"/>
          <w:kern w:val="0"/>
          <w:sz w:val="19"/>
          <w:szCs w:val="19"/>
        </w:rPr>
        <w:t>周期、成长，</w:t>
      </w:r>
      <w:proofErr w:type="gramStart"/>
      <w:r w:rsidRPr="009011F2">
        <w:rPr>
          <w:rFonts w:ascii="宋体" w:eastAsia="宋体" w:hAnsi="宋体" w:cs="宋体" w:hint="eastAsia"/>
          <w:color w:val="000000"/>
          <w:kern w:val="0"/>
          <w:sz w:val="19"/>
          <w:szCs w:val="19"/>
        </w:rPr>
        <w:t>防御看</w:t>
      </w:r>
      <w:proofErr w:type="gramEnd"/>
      <w:r w:rsidRPr="009011F2">
        <w:rPr>
          <w:rFonts w:ascii="宋体" w:eastAsia="宋体" w:hAnsi="宋体" w:cs="宋体" w:hint="eastAsia"/>
          <w:color w:val="000000"/>
          <w:kern w:val="0"/>
          <w:sz w:val="19"/>
          <w:szCs w:val="19"/>
        </w:rPr>
        <w:t>消费、价值，现在市场环境已经微妙变化，投资进入二维阶段。一方面投资者结构变化，追求绝对收益的保险和银行资金占比上升，另一</w:t>
      </w:r>
      <w:r w:rsidRPr="009011F2">
        <w:rPr>
          <w:rFonts w:ascii="宋体" w:eastAsia="宋体" w:hAnsi="宋体" w:cs="宋体" w:hint="eastAsia"/>
          <w:color w:val="000000"/>
          <w:kern w:val="0"/>
          <w:sz w:val="19"/>
          <w:szCs w:val="19"/>
        </w:rPr>
        <w:lastRenderedPageBreak/>
        <w:t>方面经济结构调整，周期和消费内部都出现结构性变化。周期股单纯从经济数据好转角度</w:t>
      </w:r>
      <w:proofErr w:type="gramStart"/>
      <w:r w:rsidRPr="009011F2">
        <w:rPr>
          <w:rFonts w:ascii="宋体" w:eastAsia="宋体" w:hAnsi="宋体" w:cs="宋体" w:hint="eastAsia"/>
          <w:color w:val="000000"/>
          <w:kern w:val="0"/>
          <w:sz w:val="19"/>
          <w:szCs w:val="19"/>
        </w:rPr>
        <w:t>找高贝塔</w:t>
      </w:r>
      <w:proofErr w:type="gramEnd"/>
      <w:r w:rsidRPr="009011F2">
        <w:rPr>
          <w:rFonts w:ascii="宋体" w:eastAsia="宋体" w:hAnsi="宋体" w:cs="宋体" w:hint="eastAsia"/>
          <w:color w:val="000000"/>
          <w:kern w:val="0"/>
          <w:sz w:val="19"/>
          <w:szCs w:val="19"/>
        </w:rPr>
        <w:t>的旧逻辑已经水土不服，因为即便数据好转，固定资产投资增速只是小幅改善，需求端的逻辑有天花板，需要结合供给端或政策主题，所谓“主题周期”，如国企改革、一带一路、供给</w:t>
      </w:r>
      <w:proofErr w:type="gramStart"/>
      <w:r w:rsidRPr="009011F2">
        <w:rPr>
          <w:rFonts w:ascii="宋体" w:eastAsia="宋体" w:hAnsi="宋体" w:cs="宋体" w:hint="eastAsia"/>
          <w:color w:val="000000"/>
          <w:kern w:val="0"/>
          <w:sz w:val="19"/>
          <w:szCs w:val="19"/>
        </w:rPr>
        <w:t>侧改革</w:t>
      </w:r>
      <w:proofErr w:type="gramEnd"/>
      <w:r w:rsidRPr="009011F2">
        <w:rPr>
          <w:rFonts w:ascii="宋体" w:eastAsia="宋体" w:hAnsi="宋体" w:cs="宋体" w:hint="eastAsia"/>
          <w:color w:val="000000"/>
          <w:kern w:val="0"/>
          <w:sz w:val="19"/>
          <w:szCs w:val="19"/>
        </w:rPr>
        <w:t>等。消费已不是简单的防御，收入水平上升和人口年龄结构变化推动消费不断升级，如白酒中茅台、吉利和长城等自主品牌汽车、家具中索菲亚、老板电器等品牌小家电、安</w:t>
      </w:r>
      <w:proofErr w:type="gramStart"/>
      <w:r w:rsidRPr="009011F2">
        <w:rPr>
          <w:rFonts w:ascii="宋体" w:eastAsia="宋体" w:hAnsi="宋体" w:cs="宋体" w:hint="eastAsia"/>
          <w:color w:val="000000"/>
          <w:kern w:val="0"/>
          <w:sz w:val="19"/>
          <w:szCs w:val="19"/>
        </w:rPr>
        <w:t>踏体育</w:t>
      </w:r>
      <w:proofErr w:type="gramEnd"/>
      <w:r w:rsidRPr="009011F2">
        <w:rPr>
          <w:rFonts w:ascii="宋体" w:eastAsia="宋体" w:hAnsi="宋体" w:cs="宋体" w:hint="eastAsia"/>
          <w:color w:val="000000"/>
          <w:kern w:val="0"/>
          <w:sz w:val="19"/>
          <w:szCs w:val="19"/>
        </w:rPr>
        <w:t>等运动用品销售持续增长。成长和价值也不再对立，而是走向融合，单纯讲现金分红的价值股表现不如有业绩增长的价值股，如格力、茅台、恒瑞优于水电、高速公路，而成长股也注重业绩与估值的匹配，2014年-15年看风口、博弹性的时代已经过去，13年底14年初并购新</w:t>
      </w:r>
      <w:proofErr w:type="gramStart"/>
      <w:r w:rsidRPr="009011F2">
        <w:rPr>
          <w:rFonts w:ascii="宋体" w:eastAsia="宋体" w:hAnsi="宋体" w:cs="宋体" w:hint="eastAsia"/>
          <w:color w:val="000000"/>
          <w:kern w:val="0"/>
          <w:sz w:val="19"/>
          <w:szCs w:val="19"/>
        </w:rPr>
        <w:t>规</w:t>
      </w:r>
      <w:proofErr w:type="gramEnd"/>
      <w:r w:rsidRPr="009011F2">
        <w:rPr>
          <w:rFonts w:ascii="宋体" w:eastAsia="宋体" w:hAnsi="宋体" w:cs="宋体" w:hint="eastAsia"/>
          <w:color w:val="000000"/>
          <w:kern w:val="0"/>
          <w:sz w:val="19"/>
          <w:szCs w:val="19"/>
        </w:rPr>
        <w:t>孵化了市值管理投资逻辑，现在政策环境已变、IPO规模扩大，价值和成长走向共和，即“价值成长”。</w:t>
      </w:r>
    </w:p>
    <w:p w:rsidR="007A703A" w:rsidRPr="009011F2" w:rsidRDefault="007A703A"/>
    <w:sectPr w:rsidR="007A703A" w:rsidRPr="009011F2" w:rsidSect="007A703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97086"/>
    <w:multiLevelType w:val="multilevel"/>
    <w:tmpl w:val="240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408F3"/>
    <w:multiLevelType w:val="multilevel"/>
    <w:tmpl w:val="E12C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11F2"/>
    <w:rsid w:val="007A703A"/>
    <w:rsid w:val="009011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03A"/>
    <w:pPr>
      <w:widowControl w:val="0"/>
      <w:jc w:val="both"/>
    </w:pPr>
  </w:style>
  <w:style w:type="paragraph" w:styleId="1">
    <w:name w:val="heading 1"/>
    <w:basedOn w:val="a"/>
    <w:link w:val="1Char"/>
    <w:uiPriority w:val="9"/>
    <w:qFormat/>
    <w:rsid w:val="009011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11F2"/>
    <w:rPr>
      <w:rFonts w:ascii="宋体" w:eastAsia="宋体" w:hAnsi="宋体" w:cs="宋体"/>
      <w:b/>
      <w:bCs/>
      <w:kern w:val="36"/>
      <w:sz w:val="48"/>
      <w:szCs w:val="48"/>
    </w:rPr>
  </w:style>
  <w:style w:type="character" w:styleId="a3">
    <w:name w:val="Hyperlink"/>
    <w:basedOn w:val="a0"/>
    <w:uiPriority w:val="99"/>
    <w:semiHidden/>
    <w:unhideWhenUsed/>
    <w:rsid w:val="009011F2"/>
    <w:rPr>
      <w:color w:val="0000FF"/>
      <w:u w:val="single"/>
    </w:rPr>
  </w:style>
  <w:style w:type="character" w:customStyle="1" w:styleId="cnumshow">
    <w:name w:val="cnumshow"/>
    <w:basedOn w:val="a0"/>
    <w:rsid w:val="009011F2"/>
  </w:style>
  <w:style w:type="character" w:customStyle="1" w:styleId="num">
    <w:name w:val="num"/>
    <w:basedOn w:val="a0"/>
    <w:rsid w:val="009011F2"/>
  </w:style>
  <w:style w:type="paragraph" w:customStyle="1" w:styleId="b-chart">
    <w:name w:val="b-chart"/>
    <w:basedOn w:val="a"/>
    <w:rsid w:val="009011F2"/>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9011F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011F2"/>
    <w:rPr>
      <w:b/>
      <w:bCs/>
    </w:rPr>
  </w:style>
  <w:style w:type="paragraph" w:styleId="a6">
    <w:name w:val="Balloon Text"/>
    <w:basedOn w:val="a"/>
    <w:link w:val="Char"/>
    <w:uiPriority w:val="99"/>
    <w:semiHidden/>
    <w:unhideWhenUsed/>
    <w:rsid w:val="009011F2"/>
    <w:rPr>
      <w:sz w:val="18"/>
      <w:szCs w:val="18"/>
    </w:rPr>
  </w:style>
  <w:style w:type="character" w:customStyle="1" w:styleId="Char">
    <w:name w:val="批注框文本 Char"/>
    <w:basedOn w:val="a0"/>
    <w:link w:val="a6"/>
    <w:uiPriority w:val="99"/>
    <w:semiHidden/>
    <w:rsid w:val="009011F2"/>
    <w:rPr>
      <w:sz w:val="18"/>
      <w:szCs w:val="18"/>
    </w:rPr>
  </w:style>
</w:styles>
</file>

<file path=word/webSettings.xml><?xml version="1.0" encoding="utf-8"?>
<w:webSettings xmlns:r="http://schemas.openxmlformats.org/officeDocument/2006/relationships" xmlns:w="http://schemas.openxmlformats.org/wordprocessingml/2006/main">
  <w:divs>
    <w:div w:id="251088081">
      <w:bodyDiv w:val="1"/>
      <w:marLeft w:val="0"/>
      <w:marRight w:val="0"/>
      <w:marTop w:val="0"/>
      <w:marBottom w:val="0"/>
      <w:divBdr>
        <w:top w:val="none" w:sz="0" w:space="0" w:color="auto"/>
        <w:left w:val="none" w:sz="0" w:space="0" w:color="auto"/>
        <w:bottom w:val="none" w:sz="0" w:space="0" w:color="auto"/>
        <w:right w:val="none" w:sz="0" w:space="0" w:color="auto"/>
      </w:divBdr>
      <w:divsChild>
        <w:div w:id="466819989">
          <w:marLeft w:val="0"/>
          <w:marRight w:val="0"/>
          <w:marTop w:val="0"/>
          <w:marBottom w:val="136"/>
          <w:divBdr>
            <w:top w:val="none" w:sz="0" w:space="0" w:color="auto"/>
            <w:left w:val="none" w:sz="0" w:space="0" w:color="auto"/>
            <w:bottom w:val="none" w:sz="0" w:space="0" w:color="auto"/>
            <w:right w:val="none" w:sz="0" w:space="0" w:color="auto"/>
          </w:divBdr>
          <w:divsChild>
            <w:div w:id="2053923727">
              <w:marLeft w:val="136"/>
              <w:marRight w:val="0"/>
              <w:marTop w:val="0"/>
              <w:marBottom w:val="0"/>
              <w:divBdr>
                <w:top w:val="none" w:sz="0" w:space="0" w:color="auto"/>
                <w:left w:val="none" w:sz="0" w:space="0" w:color="auto"/>
                <w:bottom w:val="none" w:sz="0" w:space="0" w:color="auto"/>
                <w:right w:val="none" w:sz="0" w:space="0" w:color="auto"/>
              </w:divBdr>
              <w:divsChild>
                <w:div w:id="1826896945">
                  <w:marLeft w:val="0"/>
                  <w:marRight w:val="0"/>
                  <w:marTop w:val="0"/>
                  <w:marBottom w:val="0"/>
                  <w:divBdr>
                    <w:top w:val="none" w:sz="0" w:space="0" w:color="auto"/>
                    <w:left w:val="none" w:sz="0" w:space="0" w:color="auto"/>
                    <w:bottom w:val="none" w:sz="0" w:space="0" w:color="auto"/>
                    <w:right w:val="none" w:sz="0" w:space="0" w:color="auto"/>
                  </w:divBdr>
                </w:div>
                <w:div w:id="930044784">
                  <w:marLeft w:val="136"/>
                  <w:marRight w:val="136"/>
                  <w:marTop w:val="0"/>
                  <w:marBottom w:val="0"/>
                  <w:divBdr>
                    <w:top w:val="none" w:sz="0" w:space="0" w:color="auto"/>
                    <w:left w:val="none" w:sz="0" w:space="0" w:color="auto"/>
                    <w:bottom w:val="none" w:sz="0" w:space="0" w:color="auto"/>
                    <w:right w:val="none" w:sz="0" w:space="0" w:color="auto"/>
                  </w:divBdr>
                </w:div>
              </w:divsChild>
            </w:div>
            <w:div w:id="1594363358">
              <w:marLeft w:val="0"/>
              <w:marRight w:val="0"/>
              <w:marTop w:val="0"/>
              <w:marBottom w:val="0"/>
              <w:divBdr>
                <w:top w:val="none" w:sz="0" w:space="0" w:color="auto"/>
                <w:left w:val="none" w:sz="0" w:space="0" w:color="auto"/>
                <w:bottom w:val="none" w:sz="0" w:space="0" w:color="auto"/>
                <w:right w:val="none" w:sz="0" w:space="0" w:color="auto"/>
              </w:divBdr>
              <w:divsChild>
                <w:div w:id="4011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197">
          <w:marLeft w:val="0"/>
          <w:marRight w:val="0"/>
          <w:marTop w:val="0"/>
          <w:marBottom w:val="0"/>
          <w:divBdr>
            <w:top w:val="none" w:sz="0" w:space="0" w:color="auto"/>
            <w:left w:val="none" w:sz="0" w:space="0" w:color="auto"/>
            <w:bottom w:val="single" w:sz="6" w:space="0" w:color="E5E5E5"/>
            <w:right w:val="none" w:sz="0" w:space="0" w:color="auto"/>
          </w:divBdr>
          <w:divsChild>
            <w:div w:id="725374194">
              <w:marLeft w:val="0"/>
              <w:marRight w:val="0"/>
              <w:marTop w:val="0"/>
              <w:marBottom w:val="0"/>
              <w:divBdr>
                <w:top w:val="none" w:sz="0" w:space="0" w:color="auto"/>
                <w:left w:val="none" w:sz="0" w:space="0" w:color="auto"/>
                <w:bottom w:val="none" w:sz="0" w:space="0" w:color="auto"/>
                <w:right w:val="none" w:sz="0" w:space="0" w:color="auto"/>
              </w:divBdr>
              <w:divsChild>
                <w:div w:id="1102530990">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1198087348">
          <w:marLeft w:val="0"/>
          <w:marRight w:val="0"/>
          <w:marTop w:val="136"/>
          <w:marBottom w:val="0"/>
          <w:divBdr>
            <w:top w:val="none" w:sz="0" w:space="0" w:color="auto"/>
            <w:left w:val="none" w:sz="0" w:space="0" w:color="auto"/>
            <w:bottom w:val="none" w:sz="0" w:space="0" w:color="auto"/>
            <w:right w:val="none" w:sz="0" w:space="0" w:color="auto"/>
          </w:divBdr>
          <w:divsChild>
            <w:div w:id="381099273">
              <w:marLeft w:val="0"/>
              <w:marRight w:val="0"/>
              <w:marTop w:val="0"/>
              <w:marBottom w:val="109"/>
              <w:divBdr>
                <w:top w:val="single" w:sz="6" w:space="5" w:color="AAAAAA"/>
                <w:left w:val="single" w:sz="6" w:space="5" w:color="AAAAAA"/>
                <w:bottom w:val="single" w:sz="6" w:space="5" w:color="AAAAAA"/>
                <w:right w:val="single" w:sz="6" w:space="5" w:color="AAAAAA"/>
              </w:divBdr>
            </w:div>
            <w:div w:id="1957128637">
              <w:marLeft w:val="0"/>
              <w:marRight w:val="0"/>
              <w:marTop w:val="272"/>
              <w:marBottom w:val="0"/>
              <w:divBdr>
                <w:top w:val="none" w:sz="0" w:space="0" w:color="auto"/>
                <w:left w:val="none" w:sz="0" w:space="0" w:color="auto"/>
                <w:bottom w:val="none" w:sz="0" w:space="0" w:color="auto"/>
                <w:right w:val="none" w:sz="0" w:space="0" w:color="auto"/>
              </w:divBdr>
            </w:div>
            <w:div w:id="1543712476">
              <w:marLeft w:val="0"/>
              <w:marRight w:val="0"/>
              <w:marTop w:val="0"/>
              <w:marBottom w:val="0"/>
              <w:divBdr>
                <w:top w:val="single" w:sz="6" w:space="0" w:color="E5E5E5"/>
                <w:left w:val="none" w:sz="0" w:space="0" w:color="auto"/>
                <w:bottom w:val="none" w:sz="0" w:space="0" w:color="auto"/>
                <w:right w:val="none" w:sz="0" w:space="0" w:color="auto"/>
              </w:divBdr>
              <w:divsChild>
                <w:div w:id="217979203">
                  <w:marLeft w:val="0"/>
                  <w:marRight w:val="0"/>
                  <w:marTop w:val="0"/>
                  <w:marBottom w:val="0"/>
                  <w:divBdr>
                    <w:top w:val="none" w:sz="0" w:space="0" w:color="auto"/>
                    <w:left w:val="none" w:sz="0" w:space="0" w:color="auto"/>
                    <w:bottom w:val="none" w:sz="0" w:space="0" w:color="auto"/>
                    <w:right w:val="single" w:sz="6" w:space="10" w:color="E5E5E5"/>
                  </w:divBdr>
                </w:div>
                <w:div w:id="21262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tg.eastmoney.com/pub/web_app_zwy_zwwzl_01_01_01_1" TargetMode="External"/><Relationship Id="rId13" Type="http://schemas.openxmlformats.org/officeDocument/2006/relationships/hyperlink" Target="http://data.eastmoney.com/zjlx/" TargetMode="External"/><Relationship Id="rId18" Type="http://schemas.openxmlformats.org/officeDocument/2006/relationships/hyperlink" Target="http://data.eastmoney.com/cjsj/gdp.html" TargetMode="External"/><Relationship Id="rId3" Type="http://schemas.openxmlformats.org/officeDocument/2006/relationships/settings" Target="settings.xml"/><Relationship Id="rId21" Type="http://schemas.openxmlformats.org/officeDocument/2006/relationships/hyperlink" Target="http://data.eastmoney.com/invest/invest/default.html" TargetMode="External"/><Relationship Id="rId7" Type="http://schemas.openxmlformats.org/officeDocument/2006/relationships/hyperlink" Target="http://finance.eastmoney.com/news/1345,20170316720742977.html" TargetMode="External"/><Relationship Id="rId12" Type="http://schemas.openxmlformats.org/officeDocument/2006/relationships/hyperlink" Target="http://quote.eastmoney.com/center/paihang.html" TargetMode="External"/><Relationship Id="rId17" Type="http://schemas.openxmlformats.org/officeDocument/2006/relationships/hyperlink" Target="http://quote.eastmoney.com/600909.html" TargetMode="External"/><Relationship Id="rId2" Type="http://schemas.openxmlformats.org/officeDocument/2006/relationships/styles" Target="styles.xml"/><Relationship Id="rId16" Type="http://schemas.openxmlformats.org/officeDocument/2006/relationships/hyperlink" Target="http://quote.eastmoney.com/600050.html" TargetMode="External"/><Relationship Id="rId20" Type="http://schemas.openxmlformats.org/officeDocument/2006/relationships/hyperlink" Target="http://topic.eastmoney.com/wcdd/" TargetMode="External"/><Relationship Id="rId1" Type="http://schemas.openxmlformats.org/officeDocument/2006/relationships/numbering" Target="numbering.xml"/><Relationship Id="rId6" Type="http://schemas.openxmlformats.org/officeDocument/2006/relationships/hyperlink" Target="http://guba.eastmoney.com/news,cjpl,617920015.html" TargetMode="External"/><Relationship Id="rId11" Type="http://schemas.openxmlformats.org/officeDocument/2006/relationships/hyperlink" Target="http://quote.eastmoney.com/zs000001.html"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quote.eastmoney.com/gotoba.aspx?market=1&amp;code=000001"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topic.eastmoney.com/rmbdz/" TargetMode="External"/><Relationship Id="rId4" Type="http://schemas.openxmlformats.org/officeDocument/2006/relationships/webSettings" Target="webSettings.xml"/><Relationship Id="rId9" Type="http://schemas.openxmlformats.org/officeDocument/2006/relationships/hyperlink" Target="http://quote.eastmoney.com/zs000001.html" TargetMode="External"/><Relationship Id="rId14" Type="http://schemas.openxmlformats.org/officeDocument/2006/relationships/hyperlink" Target="http://kuaixun.eastmoney.com/" TargetMode="External"/><Relationship Id="rId22" Type="http://schemas.openxmlformats.org/officeDocument/2006/relationships/hyperlink" Target="http://data.eastmoney.com/cjsj/gdzctz.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weiye.yan</dc:creator>
  <cp:lastModifiedBy>weiye.yan</cp:lastModifiedBy>
  <cp:revision>1</cp:revision>
  <dcterms:created xsi:type="dcterms:W3CDTF">2017-03-16T14:21:00Z</dcterms:created>
  <dcterms:modified xsi:type="dcterms:W3CDTF">2017-03-16T14:26:00Z</dcterms:modified>
</cp:coreProperties>
</file>