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D1" w:rsidRPr="00941AD1" w:rsidRDefault="00941AD1" w:rsidP="00941AD1">
      <w:pPr>
        <w:widowControl/>
        <w:pBdr>
          <w:top w:val="single" w:sz="6" w:space="10" w:color="E5E5E5"/>
        </w:pBdr>
        <w:spacing w:after="204" w:line="543" w:lineRule="atLeast"/>
        <w:jc w:val="left"/>
        <w:outlineLvl w:val="0"/>
        <w:rPr>
          <w:rFonts w:ascii="微软雅黑" w:eastAsia="微软雅黑" w:hAnsi="微软雅黑" w:cs="宋体"/>
          <w:b/>
          <w:bCs/>
          <w:color w:val="3F3F3F"/>
          <w:spacing w:val="-14"/>
          <w:kern w:val="36"/>
          <w:sz w:val="38"/>
          <w:szCs w:val="38"/>
        </w:rPr>
      </w:pPr>
      <w:r w:rsidRPr="00941AD1">
        <w:rPr>
          <w:rFonts w:ascii="微软雅黑" w:eastAsia="微软雅黑" w:hAnsi="微软雅黑" w:cs="宋体" w:hint="eastAsia"/>
          <w:b/>
          <w:bCs/>
          <w:color w:val="3F3F3F"/>
          <w:spacing w:val="-14"/>
          <w:kern w:val="36"/>
          <w:sz w:val="38"/>
          <w:szCs w:val="38"/>
        </w:rPr>
        <w:t>贵州茅台第一高价股地位受威胁 机构剖析百元股上涨玄机</w:t>
      </w:r>
    </w:p>
    <w:p w:rsidR="00941AD1" w:rsidRPr="00941AD1" w:rsidRDefault="00941AD1" w:rsidP="00941AD1">
      <w:pPr>
        <w:widowControl/>
        <w:spacing w:line="326" w:lineRule="atLeast"/>
        <w:jc w:val="left"/>
        <w:rPr>
          <w:rFonts w:ascii="宋体" w:eastAsia="宋体" w:hAnsi="宋体" w:cs="宋体" w:hint="eastAsia"/>
          <w:color w:val="484848"/>
          <w:kern w:val="0"/>
          <w:sz w:val="16"/>
          <w:szCs w:val="16"/>
        </w:rPr>
      </w:pPr>
      <w:r w:rsidRPr="00941AD1">
        <w:rPr>
          <w:rFonts w:ascii="宋体" w:eastAsia="宋体" w:hAnsi="宋体" w:cs="宋体" w:hint="eastAsia"/>
          <w:color w:val="484848"/>
          <w:kern w:val="0"/>
          <w:sz w:val="16"/>
          <w:szCs w:val="16"/>
        </w:rPr>
        <w:t>2017年03月16日 01:34</w:t>
      </w:r>
    </w:p>
    <w:p w:rsidR="00941AD1" w:rsidRPr="00941AD1" w:rsidRDefault="00941AD1" w:rsidP="00941AD1">
      <w:pPr>
        <w:widowControl/>
        <w:spacing w:line="326" w:lineRule="atLeast"/>
        <w:jc w:val="left"/>
        <w:rPr>
          <w:rFonts w:ascii="宋体" w:eastAsia="宋体" w:hAnsi="宋体" w:cs="宋体" w:hint="eastAsia"/>
          <w:color w:val="484848"/>
          <w:kern w:val="0"/>
          <w:sz w:val="16"/>
          <w:szCs w:val="16"/>
        </w:rPr>
      </w:pPr>
      <w:r w:rsidRPr="00941AD1">
        <w:rPr>
          <w:rFonts w:ascii="宋体" w:eastAsia="宋体" w:hAnsi="宋体" w:cs="宋体" w:hint="eastAsia"/>
          <w:color w:val="484848"/>
          <w:kern w:val="0"/>
          <w:sz w:val="16"/>
          <w:szCs w:val="16"/>
        </w:rPr>
        <w:t>来源：</w:t>
      </w:r>
      <w:r>
        <w:rPr>
          <w:rFonts w:ascii="宋体" w:eastAsia="宋体" w:hAnsi="宋体" w:cs="宋体"/>
          <w:noProof/>
          <w:color w:val="484848"/>
          <w:kern w:val="0"/>
          <w:sz w:val="16"/>
          <w:szCs w:val="16"/>
        </w:rPr>
        <w:drawing>
          <wp:inline distT="0" distB="0" distL="0" distR="0">
            <wp:extent cx="457200" cy="112395"/>
            <wp:effectExtent l="19050" t="0" r="0" b="0"/>
            <wp:docPr id="1" name="图片 1" descr="证券日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证券日报"/>
                    <pic:cNvPicPr>
                      <a:picLocks noChangeAspect="1" noChangeArrowheads="1"/>
                    </pic:cNvPicPr>
                  </pic:nvPicPr>
                  <pic:blipFill>
                    <a:blip r:embed="rId4" cstate="print"/>
                    <a:srcRect/>
                    <a:stretch>
                      <a:fillRect/>
                    </a:stretch>
                  </pic:blipFill>
                  <pic:spPr bwMode="auto">
                    <a:xfrm>
                      <a:off x="0" y="0"/>
                      <a:ext cx="457200" cy="112395"/>
                    </a:xfrm>
                    <a:prstGeom prst="rect">
                      <a:avLst/>
                    </a:prstGeom>
                    <a:noFill/>
                    <a:ln w="9525">
                      <a:noFill/>
                      <a:miter lim="800000"/>
                      <a:headEnd/>
                      <a:tailEnd/>
                    </a:ln>
                  </pic:spPr>
                </pic:pic>
              </a:graphicData>
            </a:graphic>
          </wp:inline>
        </w:drawing>
      </w:r>
    </w:p>
    <w:p w:rsidR="00941AD1" w:rsidRPr="00941AD1" w:rsidRDefault="00941AD1" w:rsidP="00941AD1">
      <w:pPr>
        <w:widowControl/>
        <w:spacing w:line="326" w:lineRule="atLeast"/>
        <w:jc w:val="left"/>
        <w:rPr>
          <w:rFonts w:ascii="宋体" w:eastAsia="宋体" w:hAnsi="宋体" w:cs="宋体" w:hint="eastAsia"/>
          <w:color w:val="484848"/>
          <w:kern w:val="0"/>
          <w:sz w:val="16"/>
          <w:szCs w:val="16"/>
        </w:rPr>
      </w:pPr>
      <w:r w:rsidRPr="00941AD1">
        <w:rPr>
          <w:rFonts w:ascii="宋体" w:eastAsia="宋体" w:hAnsi="宋体" w:cs="宋体" w:hint="eastAsia"/>
          <w:color w:val="484848"/>
          <w:kern w:val="0"/>
          <w:sz w:val="16"/>
          <w:szCs w:val="16"/>
        </w:rPr>
        <w:t>编辑：</w:t>
      </w:r>
      <w:hyperlink r:id="rId5" w:tgtFrame="_blank" w:history="1">
        <w:r w:rsidRPr="00941AD1">
          <w:rPr>
            <w:rFonts w:ascii="宋体" w:eastAsia="宋体" w:hAnsi="宋体" w:cs="宋体" w:hint="eastAsia"/>
            <w:color w:val="043396"/>
            <w:kern w:val="0"/>
            <w:sz w:val="16"/>
          </w:rPr>
          <w:t>东方</w:t>
        </w:r>
        <w:proofErr w:type="gramStart"/>
        <w:r w:rsidRPr="00941AD1">
          <w:rPr>
            <w:rFonts w:ascii="宋体" w:eastAsia="宋体" w:hAnsi="宋体" w:cs="宋体" w:hint="eastAsia"/>
            <w:color w:val="043396"/>
            <w:kern w:val="0"/>
            <w:sz w:val="16"/>
          </w:rPr>
          <w:t>财富网</w:t>
        </w:r>
        <w:proofErr w:type="gramEnd"/>
      </w:hyperlink>
    </w:p>
    <w:p w:rsidR="00941AD1" w:rsidRPr="00941AD1" w:rsidRDefault="00941AD1" w:rsidP="00941AD1">
      <w:pPr>
        <w:widowControl/>
        <w:spacing w:line="326" w:lineRule="atLeast"/>
        <w:jc w:val="left"/>
        <w:rPr>
          <w:rFonts w:ascii="宋体" w:eastAsia="宋体" w:hAnsi="宋体" w:cs="宋体" w:hint="eastAsia"/>
          <w:color w:val="484848"/>
          <w:kern w:val="0"/>
          <w:sz w:val="16"/>
          <w:szCs w:val="16"/>
        </w:rPr>
      </w:pPr>
      <w:r w:rsidRPr="00941AD1">
        <w:rPr>
          <w:rFonts w:ascii="宋体" w:eastAsia="宋体" w:hAnsi="宋体" w:cs="宋体" w:hint="eastAsia"/>
          <w:color w:val="484848"/>
          <w:kern w:val="0"/>
          <w:sz w:val="16"/>
          <w:szCs w:val="16"/>
        </w:rPr>
        <w:t>分享到：</w:t>
      </w:r>
    </w:p>
    <w:p w:rsidR="00941AD1" w:rsidRPr="00941AD1" w:rsidRDefault="00941AD1" w:rsidP="00941AD1">
      <w:pPr>
        <w:widowControl/>
        <w:spacing w:line="408" w:lineRule="atLeast"/>
        <w:jc w:val="left"/>
        <w:rPr>
          <w:rFonts w:ascii="宋体" w:eastAsia="宋体" w:hAnsi="宋体" w:cs="宋体" w:hint="eastAsia"/>
          <w:color w:val="484848"/>
          <w:kern w:val="0"/>
          <w:sz w:val="16"/>
          <w:szCs w:val="16"/>
        </w:rPr>
      </w:pPr>
      <w:hyperlink r:id="rId6" w:tgtFrame="_blank" w:history="1">
        <w:r w:rsidRPr="00941AD1">
          <w:rPr>
            <w:rFonts w:ascii="Arial" w:eastAsia="宋体" w:hAnsi="Arial" w:cs="Arial"/>
            <w:b/>
            <w:bCs/>
            <w:color w:val="FF4901"/>
            <w:kern w:val="0"/>
            <w:sz w:val="22"/>
          </w:rPr>
          <w:t>61</w:t>
        </w:r>
        <w:r w:rsidRPr="00941AD1">
          <w:rPr>
            <w:rFonts w:ascii="宋体" w:eastAsia="宋体" w:hAnsi="宋体" w:cs="宋体" w:hint="eastAsia"/>
            <w:color w:val="043396"/>
            <w:kern w:val="0"/>
            <w:sz w:val="16"/>
          </w:rPr>
          <w:t>人评论</w:t>
        </w:r>
        <w:r w:rsidRPr="00941AD1">
          <w:rPr>
            <w:rFonts w:ascii="Arial" w:eastAsia="宋体" w:hAnsi="Arial" w:cs="Arial"/>
            <w:b/>
            <w:bCs/>
            <w:color w:val="FF4901"/>
            <w:kern w:val="0"/>
            <w:sz w:val="22"/>
          </w:rPr>
          <w:t>94536</w:t>
        </w:r>
        <w:r w:rsidRPr="00941AD1">
          <w:rPr>
            <w:rFonts w:ascii="宋体" w:eastAsia="宋体" w:hAnsi="宋体" w:cs="宋体" w:hint="eastAsia"/>
            <w:color w:val="043396"/>
            <w:kern w:val="0"/>
            <w:sz w:val="16"/>
          </w:rPr>
          <w:t>人参与讨论</w:t>
        </w:r>
      </w:hyperlink>
      <w:hyperlink r:id="rId7" w:anchor="newsComment" w:tgtFrame="_self" w:history="1">
        <w:r w:rsidRPr="00941AD1">
          <w:rPr>
            <w:rFonts w:ascii="宋体" w:eastAsia="宋体" w:hAnsi="宋体" w:cs="宋体" w:hint="eastAsia"/>
            <w:color w:val="043396"/>
            <w:kern w:val="0"/>
            <w:sz w:val="16"/>
          </w:rPr>
          <w:t>我来说两句</w:t>
        </w:r>
      </w:hyperlink>
      <w:hyperlink r:id="rId8" w:tgtFrame="_blank" w:history="1">
        <w:r w:rsidRPr="00941AD1">
          <w:rPr>
            <w:rFonts w:ascii="宋体" w:eastAsia="宋体" w:hAnsi="宋体" w:cs="宋体" w:hint="eastAsia"/>
            <w:color w:val="043396"/>
            <w:kern w:val="0"/>
            <w:sz w:val="16"/>
          </w:rPr>
          <w:t>手机免费看新闻</w:t>
        </w:r>
      </w:hyperlink>
    </w:p>
    <w:p w:rsidR="00941AD1" w:rsidRPr="00941AD1" w:rsidRDefault="00941AD1" w:rsidP="00941AD1">
      <w:pPr>
        <w:widowControl/>
        <w:shd w:val="clear" w:color="auto" w:fill="AAAAAA"/>
        <w:spacing w:line="408" w:lineRule="atLeast"/>
        <w:jc w:val="center"/>
        <w:rPr>
          <w:rFonts w:ascii="宋体" w:eastAsia="宋体" w:hAnsi="宋体" w:cs="宋体" w:hint="eastAsia"/>
          <w:color w:val="FFFFFF"/>
          <w:kern w:val="0"/>
          <w:sz w:val="22"/>
        </w:rPr>
      </w:pPr>
      <w:r w:rsidRPr="00941AD1">
        <w:rPr>
          <w:rFonts w:ascii="宋体" w:eastAsia="宋体" w:hAnsi="宋体" w:cs="宋体" w:hint="eastAsia"/>
          <w:color w:val="FFFFFF"/>
          <w:kern w:val="0"/>
          <w:sz w:val="22"/>
        </w:rPr>
        <w:t>摘要</w:t>
      </w:r>
    </w:p>
    <w:p w:rsidR="00941AD1" w:rsidRPr="00941AD1" w:rsidRDefault="00941AD1" w:rsidP="00941AD1">
      <w:pPr>
        <w:widowControl/>
        <w:shd w:val="clear" w:color="auto" w:fill="F6F6F6"/>
        <w:spacing w:line="312" w:lineRule="atLeast"/>
        <w:ind w:firstLine="326"/>
        <w:jc w:val="left"/>
        <w:rPr>
          <w:rFonts w:ascii="宋体" w:eastAsia="宋体" w:hAnsi="宋体" w:cs="宋体" w:hint="eastAsia"/>
          <w:color w:val="484848"/>
          <w:kern w:val="0"/>
          <w:sz w:val="19"/>
          <w:szCs w:val="19"/>
        </w:rPr>
      </w:pPr>
      <w:r w:rsidRPr="00941AD1">
        <w:rPr>
          <w:rFonts w:ascii="宋体" w:eastAsia="宋体" w:hAnsi="宋体" w:cs="宋体" w:hint="eastAsia"/>
          <w:color w:val="484848"/>
          <w:kern w:val="0"/>
          <w:sz w:val="19"/>
          <w:szCs w:val="19"/>
        </w:rPr>
        <w:t>【贵州茅台第一高价股地位受威胁 机构剖析百元股上涨玄机】近日百元股表现活跃，昨日以1.48%的涨幅位居板块涨幅榜前列，而周二吉比特以375.16元的当日</w:t>
      </w:r>
      <w:proofErr w:type="gramStart"/>
      <w:r w:rsidRPr="00941AD1">
        <w:rPr>
          <w:rFonts w:ascii="宋体" w:eastAsia="宋体" w:hAnsi="宋体" w:cs="宋体" w:hint="eastAsia"/>
          <w:color w:val="484848"/>
          <w:kern w:val="0"/>
          <w:sz w:val="19"/>
          <w:szCs w:val="19"/>
        </w:rPr>
        <w:t>最</w:t>
      </w:r>
      <w:proofErr w:type="gramEnd"/>
      <w:r w:rsidRPr="00941AD1">
        <w:rPr>
          <w:rFonts w:ascii="宋体" w:eastAsia="宋体" w:hAnsi="宋体" w:cs="宋体" w:hint="eastAsia"/>
          <w:color w:val="484848"/>
          <w:kern w:val="0"/>
          <w:sz w:val="19"/>
          <w:szCs w:val="19"/>
        </w:rPr>
        <w:t>高价短暂超过</w:t>
      </w:r>
      <w:proofErr w:type="gramStart"/>
      <w:r w:rsidRPr="00941AD1">
        <w:rPr>
          <w:rFonts w:ascii="宋体" w:eastAsia="宋体" w:hAnsi="宋体" w:cs="宋体" w:hint="eastAsia"/>
          <w:color w:val="484848"/>
          <w:kern w:val="0"/>
          <w:sz w:val="19"/>
          <w:szCs w:val="19"/>
        </w:rPr>
        <w:t>老牌第一</w:t>
      </w:r>
      <w:proofErr w:type="gramEnd"/>
      <w:r w:rsidRPr="00941AD1">
        <w:rPr>
          <w:rFonts w:ascii="宋体" w:eastAsia="宋体" w:hAnsi="宋体" w:cs="宋体" w:hint="eastAsia"/>
          <w:color w:val="484848"/>
          <w:kern w:val="0"/>
          <w:sz w:val="19"/>
          <w:szCs w:val="19"/>
        </w:rPr>
        <w:t>高价股贵州茅台，为百元股火爆行情增添助力。分析人士表示，高价股的博弈显示出主力机构树立市场标杆的决心与信心，有利于凝聚人气，激发市场动能，市场走弱时尤其要关注高价股动向。《证券日报》市场研究中心今日对百元股的走势、行业、资金等特征进行梳理解读，并对股价在200元以上的个股进行分析</w:t>
      </w:r>
      <w:proofErr w:type="gramStart"/>
      <w:r w:rsidRPr="00941AD1">
        <w:rPr>
          <w:rFonts w:ascii="宋体" w:eastAsia="宋体" w:hAnsi="宋体" w:cs="宋体" w:hint="eastAsia"/>
          <w:color w:val="484848"/>
          <w:kern w:val="0"/>
          <w:sz w:val="19"/>
          <w:szCs w:val="19"/>
        </w:rPr>
        <w:t>研</w:t>
      </w:r>
      <w:proofErr w:type="gramEnd"/>
      <w:r w:rsidRPr="00941AD1">
        <w:rPr>
          <w:rFonts w:ascii="宋体" w:eastAsia="宋体" w:hAnsi="宋体" w:cs="宋体" w:hint="eastAsia"/>
          <w:color w:val="484848"/>
          <w:kern w:val="0"/>
          <w:sz w:val="19"/>
          <w:szCs w:val="19"/>
        </w:rPr>
        <w:t>判，供投资者参考。（证券日报）</w:t>
      </w:r>
    </w:p>
    <w:p w:rsidR="00941AD1" w:rsidRPr="00941AD1" w:rsidRDefault="00941AD1" w:rsidP="00941AD1">
      <w:pPr>
        <w:widowControl/>
        <w:pBdr>
          <w:top w:val="single" w:sz="6" w:space="0" w:color="E5E5E5"/>
          <w:left w:val="single" w:sz="6" w:space="0" w:color="E5E5E5"/>
          <w:bottom w:val="single" w:sz="6" w:space="0" w:color="E5E5E5"/>
          <w:right w:val="single" w:sz="6" w:space="0" w:color="E5E5E5"/>
        </w:pBdr>
        <w:spacing w:before="204" w:after="204" w:line="380" w:lineRule="atLeast"/>
        <w:ind w:left="14"/>
        <w:jc w:val="center"/>
        <w:rPr>
          <w:rFonts w:ascii="宋体" w:eastAsia="宋体" w:hAnsi="宋体" w:cs="宋体" w:hint="eastAsia"/>
          <w:color w:val="000000"/>
          <w:kern w:val="0"/>
          <w:sz w:val="19"/>
          <w:szCs w:val="19"/>
        </w:rPr>
      </w:pPr>
      <w:r>
        <w:rPr>
          <w:rFonts w:ascii="宋体" w:eastAsia="宋体" w:hAnsi="宋体" w:cs="宋体"/>
          <w:noProof/>
          <w:color w:val="043396"/>
          <w:kern w:val="0"/>
          <w:sz w:val="19"/>
          <w:szCs w:val="19"/>
        </w:rPr>
        <w:drawing>
          <wp:inline distT="0" distB="0" distL="0" distR="0">
            <wp:extent cx="5503545" cy="2630805"/>
            <wp:effectExtent l="19050" t="0" r="1905" b="0"/>
            <wp:docPr id="2" name="图片 2" descr="K图 600519_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图 600519_1">
                      <a:hlinkClick r:id="rId9" tgtFrame="&quot;_blank&quot;"/>
                    </pic:cNvPr>
                    <pic:cNvPicPr>
                      <a:picLocks noChangeAspect="1" noChangeArrowheads="1"/>
                    </pic:cNvPicPr>
                  </pic:nvPicPr>
                  <pic:blipFill>
                    <a:blip r:embed="rId10" cstate="print"/>
                    <a:srcRect/>
                    <a:stretch>
                      <a:fillRect/>
                    </a:stretch>
                  </pic:blipFill>
                  <pic:spPr bwMode="auto">
                    <a:xfrm>
                      <a:off x="0" y="0"/>
                      <a:ext cx="5503545" cy="2630805"/>
                    </a:xfrm>
                    <a:prstGeom prst="rect">
                      <a:avLst/>
                    </a:prstGeom>
                    <a:noFill/>
                    <a:ln w="9525">
                      <a:noFill/>
                      <a:miter lim="800000"/>
                      <a:headEnd/>
                      <a:tailEnd/>
                    </a:ln>
                  </pic:spPr>
                </pic:pic>
              </a:graphicData>
            </a:graphic>
          </wp:inline>
        </w:drawing>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近日百元股表现活跃，昨日以1.48%的涨幅位居板块涨幅榜前列，而周二</w:t>
      </w:r>
      <w:hyperlink r:id="rId11" w:tgtFrame="_blank" w:history="1">
        <w:r w:rsidRPr="00941AD1">
          <w:rPr>
            <w:rFonts w:ascii="宋体" w:eastAsia="宋体" w:hAnsi="宋体" w:cs="宋体" w:hint="eastAsia"/>
            <w:color w:val="043396"/>
            <w:kern w:val="0"/>
            <w:sz w:val="19"/>
            <w:u w:val="single"/>
          </w:rPr>
          <w:t>吉比特</w:t>
        </w:r>
      </w:hyperlink>
      <w:r w:rsidRPr="00941AD1">
        <w:rPr>
          <w:rFonts w:ascii="宋体" w:eastAsia="宋体" w:hAnsi="宋体" w:cs="宋体" w:hint="eastAsia"/>
          <w:color w:val="000000"/>
          <w:kern w:val="0"/>
          <w:sz w:val="19"/>
          <w:szCs w:val="19"/>
        </w:rPr>
        <w:t>以375.16元的当日</w:t>
      </w:r>
      <w:proofErr w:type="gramStart"/>
      <w:r w:rsidRPr="00941AD1">
        <w:rPr>
          <w:rFonts w:ascii="宋体" w:eastAsia="宋体" w:hAnsi="宋体" w:cs="宋体" w:hint="eastAsia"/>
          <w:color w:val="000000"/>
          <w:kern w:val="0"/>
          <w:sz w:val="19"/>
          <w:szCs w:val="19"/>
        </w:rPr>
        <w:t>最</w:t>
      </w:r>
      <w:proofErr w:type="gramEnd"/>
      <w:r w:rsidRPr="00941AD1">
        <w:rPr>
          <w:rFonts w:ascii="宋体" w:eastAsia="宋体" w:hAnsi="宋体" w:cs="宋体" w:hint="eastAsia"/>
          <w:color w:val="000000"/>
          <w:kern w:val="0"/>
          <w:sz w:val="19"/>
          <w:szCs w:val="19"/>
        </w:rPr>
        <w:t>高价短暂超过</w:t>
      </w:r>
      <w:proofErr w:type="gramStart"/>
      <w:r w:rsidRPr="00941AD1">
        <w:rPr>
          <w:rFonts w:ascii="宋体" w:eastAsia="宋体" w:hAnsi="宋体" w:cs="宋体" w:hint="eastAsia"/>
          <w:color w:val="000000"/>
          <w:kern w:val="0"/>
          <w:sz w:val="19"/>
          <w:szCs w:val="19"/>
        </w:rPr>
        <w:t>老牌第一</w:t>
      </w:r>
      <w:proofErr w:type="gramEnd"/>
      <w:r w:rsidRPr="00941AD1">
        <w:rPr>
          <w:rFonts w:ascii="宋体" w:eastAsia="宋体" w:hAnsi="宋体" w:cs="宋体" w:hint="eastAsia"/>
          <w:color w:val="000000"/>
          <w:kern w:val="0"/>
          <w:sz w:val="19"/>
          <w:szCs w:val="19"/>
        </w:rPr>
        <w:t>高价股</w:t>
      </w:r>
      <w:hyperlink r:id="rId12" w:tgtFrame="_blank" w:history="1">
        <w:r w:rsidRPr="00941AD1">
          <w:rPr>
            <w:rFonts w:ascii="宋体" w:eastAsia="宋体" w:hAnsi="宋体" w:cs="宋体" w:hint="eastAsia"/>
            <w:color w:val="043396"/>
            <w:kern w:val="0"/>
            <w:sz w:val="19"/>
            <w:u w:val="single"/>
          </w:rPr>
          <w:t>贵州茅台</w:t>
        </w:r>
      </w:hyperlink>
      <w:r w:rsidRPr="00941AD1">
        <w:rPr>
          <w:rFonts w:ascii="宋体" w:eastAsia="宋体" w:hAnsi="宋体" w:cs="宋体" w:hint="eastAsia"/>
          <w:color w:val="000000"/>
          <w:kern w:val="0"/>
          <w:sz w:val="19"/>
          <w:szCs w:val="19"/>
        </w:rPr>
        <w:t>，为百元股火爆行情增添助力。分析人士表示，高价股的博弈显示出主力机构树立市场标杆的决心与信心，有利于凝聚人气，激发市场动能，市场走弱时尤其要关注高价股动向。《证券日报》市场研究中心今日对百元股的走势、行业、资金等特征进行梳理解读，并对股价在200元以上的个股进行分析</w:t>
      </w:r>
      <w:proofErr w:type="gramStart"/>
      <w:r w:rsidRPr="00941AD1">
        <w:rPr>
          <w:rFonts w:ascii="宋体" w:eastAsia="宋体" w:hAnsi="宋体" w:cs="宋体" w:hint="eastAsia"/>
          <w:color w:val="000000"/>
          <w:kern w:val="0"/>
          <w:sz w:val="19"/>
          <w:szCs w:val="19"/>
        </w:rPr>
        <w:t>研</w:t>
      </w:r>
      <w:proofErr w:type="gramEnd"/>
      <w:r w:rsidRPr="00941AD1">
        <w:rPr>
          <w:rFonts w:ascii="宋体" w:eastAsia="宋体" w:hAnsi="宋体" w:cs="宋体" w:hint="eastAsia"/>
          <w:color w:val="000000"/>
          <w:kern w:val="0"/>
          <w:sz w:val="19"/>
          <w:szCs w:val="19"/>
        </w:rPr>
        <w:t>判，供投资者参考。</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b/>
          <w:bCs/>
          <w:color w:val="000000"/>
          <w:kern w:val="0"/>
          <w:sz w:val="19"/>
        </w:rPr>
        <w:t xml:space="preserve">　　27只百元股扎堆电子等三大高景气行业</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lastRenderedPageBreak/>
        <w:t xml:space="preserve">　　昨日，高价股再度站上市场风口，25只上市交易的百元股中，</w:t>
      </w:r>
      <w:hyperlink r:id="rId13" w:tgtFrame="_blank" w:history="1">
        <w:proofErr w:type="gramStart"/>
        <w:r w:rsidRPr="00941AD1">
          <w:rPr>
            <w:rFonts w:ascii="宋体" w:eastAsia="宋体" w:hAnsi="宋体" w:cs="宋体" w:hint="eastAsia"/>
            <w:color w:val="043396"/>
            <w:kern w:val="0"/>
            <w:sz w:val="19"/>
            <w:u w:val="single"/>
          </w:rPr>
          <w:t>安靠智电</w:t>
        </w:r>
        <w:proofErr w:type="gramEnd"/>
      </w:hyperlink>
      <w:r w:rsidRPr="00941AD1">
        <w:rPr>
          <w:rFonts w:ascii="宋体" w:eastAsia="宋体" w:hAnsi="宋体" w:cs="宋体" w:hint="eastAsia"/>
          <w:color w:val="000000"/>
          <w:kern w:val="0"/>
          <w:sz w:val="19"/>
          <w:szCs w:val="19"/>
        </w:rPr>
        <w:t>、</w:t>
      </w:r>
      <w:hyperlink r:id="rId14" w:tgtFrame="_blank" w:history="1">
        <w:proofErr w:type="gramStart"/>
        <w:r w:rsidRPr="00941AD1">
          <w:rPr>
            <w:rFonts w:ascii="宋体" w:eastAsia="宋体" w:hAnsi="宋体" w:cs="宋体" w:hint="eastAsia"/>
            <w:color w:val="043396"/>
            <w:kern w:val="0"/>
            <w:sz w:val="19"/>
            <w:u w:val="single"/>
          </w:rPr>
          <w:t>尚品宅配</w:t>
        </w:r>
        <w:proofErr w:type="gramEnd"/>
      </w:hyperlink>
      <w:r w:rsidRPr="00941AD1">
        <w:rPr>
          <w:rFonts w:ascii="宋体" w:eastAsia="宋体" w:hAnsi="宋体" w:cs="宋体" w:hint="eastAsia"/>
          <w:color w:val="000000"/>
          <w:kern w:val="0"/>
          <w:sz w:val="19"/>
          <w:szCs w:val="19"/>
        </w:rPr>
        <w:t>、</w:t>
      </w:r>
      <w:hyperlink r:id="rId15" w:tgtFrame="_blank" w:history="1">
        <w:proofErr w:type="gramStart"/>
        <w:r w:rsidRPr="00941AD1">
          <w:rPr>
            <w:rFonts w:ascii="宋体" w:eastAsia="宋体" w:hAnsi="宋体" w:cs="宋体" w:hint="eastAsia"/>
            <w:color w:val="043396"/>
            <w:kern w:val="0"/>
            <w:sz w:val="19"/>
            <w:u w:val="single"/>
          </w:rPr>
          <w:t>兆易创新</w:t>
        </w:r>
        <w:proofErr w:type="gramEnd"/>
      </w:hyperlink>
      <w:hyperlink r:id="rId16" w:tgtFrame="_blank" w:history="1">
        <w:r w:rsidRPr="00941AD1">
          <w:rPr>
            <w:rFonts w:ascii="宋体" w:eastAsia="宋体" w:hAnsi="宋体" w:cs="宋体" w:hint="eastAsia"/>
            <w:color w:val="043396"/>
            <w:kern w:val="0"/>
            <w:sz w:val="19"/>
            <w:u w:val="single"/>
          </w:rPr>
          <w:t>和科达</w:t>
        </w:r>
      </w:hyperlink>
      <w:r w:rsidRPr="00941AD1">
        <w:rPr>
          <w:rFonts w:ascii="宋体" w:eastAsia="宋体" w:hAnsi="宋体" w:cs="宋体" w:hint="eastAsia"/>
          <w:color w:val="000000"/>
          <w:kern w:val="0"/>
          <w:sz w:val="19"/>
          <w:szCs w:val="19"/>
        </w:rPr>
        <w:t>利等4只个股涨停，另外</w:t>
      </w:r>
      <w:hyperlink r:id="rId17" w:tgtFrame="_blank" w:history="1">
        <w:r w:rsidRPr="00941AD1">
          <w:rPr>
            <w:rFonts w:ascii="宋体" w:eastAsia="宋体" w:hAnsi="宋体" w:cs="宋体" w:hint="eastAsia"/>
            <w:color w:val="043396"/>
            <w:kern w:val="0"/>
            <w:sz w:val="19"/>
            <w:u w:val="single"/>
          </w:rPr>
          <w:t>长春高新</w:t>
        </w:r>
      </w:hyperlink>
      <w:r w:rsidRPr="00941AD1">
        <w:rPr>
          <w:rFonts w:ascii="宋体" w:eastAsia="宋体" w:hAnsi="宋体" w:cs="宋体" w:hint="eastAsia"/>
          <w:color w:val="000000"/>
          <w:kern w:val="0"/>
          <w:sz w:val="19"/>
          <w:szCs w:val="19"/>
        </w:rPr>
        <w:t>、</w:t>
      </w:r>
      <w:hyperlink r:id="rId18" w:tgtFrame="_blank" w:history="1">
        <w:proofErr w:type="gramStart"/>
        <w:r w:rsidRPr="00941AD1">
          <w:rPr>
            <w:rFonts w:ascii="宋体" w:eastAsia="宋体" w:hAnsi="宋体" w:cs="宋体" w:hint="eastAsia"/>
            <w:color w:val="043396"/>
            <w:kern w:val="0"/>
            <w:sz w:val="19"/>
            <w:u w:val="single"/>
          </w:rPr>
          <w:t>辰安科技</w:t>
        </w:r>
        <w:proofErr w:type="gramEnd"/>
      </w:hyperlink>
      <w:r w:rsidRPr="00941AD1">
        <w:rPr>
          <w:rFonts w:ascii="宋体" w:eastAsia="宋体" w:hAnsi="宋体" w:cs="宋体" w:hint="eastAsia"/>
          <w:color w:val="000000"/>
          <w:kern w:val="0"/>
          <w:sz w:val="19"/>
          <w:szCs w:val="19"/>
        </w:rPr>
        <w:t>、</w:t>
      </w:r>
      <w:hyperlink r:id="rId19" w:tgtFrame="_blank" w:history="1">
        <w:proofErr w:type="gramStart"/>
        <w:r w:rsidRPr="00941AD1">
          <w:rPr>
            <w:rFonts w:ascii="宋体" w:eastAsia="宋体" w:hAnsi="宋体" w:cs="宋体" w:hint="eastAsia"/>
            <w:color w:val="043396"/>
            <w:kern w:val="0"/>
            <w:sz w:val="19"/>
            <w:u w:val="single"/>
          </w:rPr>
          <w:t>塞力斯</w:t>
        </w:r>
        <w:proofErr w:type="gramEnd"/>
      </w:hyperlink>
      <w:r w:rsidRPr="00941AD1">
        <w:rPr>
          <w:rFonts w:ascii="宋体" w:eastAsia="宋体" w:hAnsi="宋体" w:cs="宋体" w:hint="eastAsia"/>
          <w:color w:val="000000"/>
          <w:kern w:val="0"/>
          <w:sz w:val="19"/>
          <w:szCs w:val="19"/>
        </w:rPr>
        <w:t>、</w:t>
      </w:r>
      <w:hyperlink r:id="rId20" w:tgtFrame="_blank" w:history="1">
        <w:r w:rsidRPr="00941AD1">
          <w:rPr>
            <w:rFonts w:ascii="宋体" w:eastAsia="宋体" w:hAnsi="宋体" w:cs="宋体" w:hint="eastAsia"/>
            <w:color w:val="043396"/>
            <w:kern w:val="0"/>
            <w:sz w:val="19"/>
            <w:u w:val="single"/>
          </w:rPr>
          <w:t>微光股份</w:t>
        </w:r>
      </w:hyperlink>
      <w:r w:rsidRPr="00941AD1">
        <w:rPr>
          <w:rFonts w:ascii="宋体" w:eastAsia="宋体" w:hAnsi="宋体" w:cs="宋体" w:hint="eastAsia"/>
          <w:color w:val="000000"/>
          <w:kern w:val="0"/>
          <w:sz w:val="19"/>
          <w:szCs w:val="19"/>
        </w:rPr>
        <w:t>和贵州茅台等个股昨日涨幅也较为居前，分别为2.97%、1.94%、1.75%、1.59%和1.40%。</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《证券日报》记者梳理发现，27只百元股中，除</w:t>
      </w:r>
      <w:hyperlink r:id="rId21" w:tgtFrame="_blank" w:history="1">
        <w:r w:rsidRPr="00941AD1">
          <w:rPr>
            <w:rFonts w:ascii="宋体" w:eastAsia="宋体" w:hAnsi="宋体" w:cs="宋体" w:hint="eastAsia"/>
            <w:color w:val="043396"/>
            <w:kern w:val="0"/>
            <w:sz w:val="19"/>
            <w:u w:val="single"/>
          </w:rPr>
          <w:t>新易盛</w:t>
        </w:r>
      </w:hyperlink>
      <w:r w:rsidRPr="00941AD1">
        <w:rPr>
          <w:rFonts w:ascii="宋体" w:eastAsia="宋体" w:hAnsi="宋体" w:cs="宋体" w:hint="eastAsia"/>
          <w:color w:val="000000"/>
          <w:kern w:val="0"/>
          <w:sz w:val="19"/>
          <w:szCs w:val="19"/>
        </w:rPr>
        <w:t>、贵州茅台和长春高新外，其余24只个股均为上市未满一年的次新股。有市场人士表示，多数新股上市后连续涨停现象，是推动上述个股快速跻身百元股俱乐部的主要原因。</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行业特征方面，上述27只百元股主要扎堆在电子、</w:t>
      </w:r>
      <w:hyperlink r:id="rId22" w:tgtFrame="_blank" w:history="1">
        <w:r w:rsidRPr="00941AD1">
          <w:rPr>
            <w:rFonts w:ascii="宋体" w:eastAsia="宋体" w:hAnsi="宋体" w:cs="宋体" w:hint="eastAsia"/>
            <w:color w:val="043396"/>
            <w:kern w:val="0"/>
            <w:sz w:val="19"/>
            <w:u w:val="single"/>
          </w:rPr>
          <w:t>医药生物</w:t>
        </w:r>
      </w:hyperlink>
      <w:r w:rsidRPr="00941AD1">
        <w:rPr>
          <w:rFonts w:ascii="宋体" w:eastAsia="宋体" w:hAnsi="宋体" w:cs="宋体" w:hint="eastAsia"/>
          <w:color w:val="000000"/>
          <w:kern w:val="0"/>
          <w:sz w:val="19"/>
          <w:szCs w:val="19"/>
        </w:rPr>
        <w:t>、计算机三大高景气度行业，分别为7只个股、6只个股和4只个股，三大行业累计百元股数量占两市总百元股数量的62.96%；而传媒、电气设备、机械设备等行业各有2只个股，国防军工、汽车、轻工制造、</w:t>
      </w:r>
      <w:hyperlink r:id="rId23" w:tgtFrame="_blank" w:history="1">
        <w:r w:rsidRPr="00941AD1">
          <w:rPr>
            <w:rFonts w:ascii="宋体" w:eastAsia="宋体" w:hAnsi="宋体" w:cs="宋体" w:hint="eastAsia"/>
            <w:color w:val="043396"/>
            <w:kern w:val="0"/>
            <w:sz w:val="19"/>
            <w:u w:val="single"/>
          </w:rPr>
          <w:t>食品饮料</w:t>
        </w:r>
      </w:hyperlink>
      <w:r w:rsidRPr="00941AD1">
        <w:rPr>
          <w:rFonts w:ascii="宋体" w:eastAsia="宋体" w:hAnsi="宋体" w:cs="宋体" w:hint="eastAsia"/>
          <w:color w:val="000000"/>
          <w:kern w:val="0"/>
          <w:sz w:val="19"/>
          <w:szCs w:val="19"/>
        </w:rPr>
        <w:t>等行业各有1只个股。而从所属板块来看，27只百元股中，仅贵州茅台、</w:t>
      </w:r>
      <w:hyperlink r:id="rId24" w:tgtFrame="_blank" w:history="1">
        <w:proofErr w:type="gramStart"/>
        <w:r w:rsidRPr="00941AD1">
          <w:rPr>
            <w:rFonts w:ascii="宋体" w:eastAsia="宋体" w:hAnsi="宋体" w:cs="宋体" w:hint="eastAsia"/>
            <w:color w:val="043396"/>
            <w:kern w:val="0"/>
            <w:sz w:val="19"/>
            <w:u w:val="single"/>
          </w:rPr>
          <w:t>汇顶科技</w:t>
        </w:r>
        <w:proofErr w:type="gramEnd"/>
      </w:hyperlink>
      <w:r w:rsidRPr="00941AD1">
        <w:rPr>
          <w:rFonts w:ascii="宋体" w:eastAsia="宋体" w:hAnsi="宋体" w:cs="宋体" w:hint="eastAsia"/>
          <w:color w:val="000000"/>
          <w:kern w:val="0"/>
          <w:sz w:val="19"/>
          <w:szCs w:val="19"/>
        </w:rPr>
        <w:t>、吉比特、</w:t>
      </w:r>
      <w:hyperlink r:id="rId25" w:tgtFrame="_blank" w:history="1">
        <w:r w:rsidRPr="00941AD1">
          <w:rPr>
            <w:rFonts w:ascii="宋体" w:eastAsia="宋体" w:hAnsi="宋体" w:cs="宋体" w:hint="eastAsia"/>
            <w:color w:val="043396"/>
            <w:kern w:val="0"/>
            <w:sz w:val="19"/>
            <w:u w:val="single"/>
          </w:rPr>
          <w:t>荣泰健康</w:t>
        </w:r>
      </w:hyperlink>
      <w:r w:rsidRPr="00941AD1">
        <w:rPr>
          <w:rFonts w:ascii="宋体" w:eastAsia="宋体" w:hAnsi="宋体" w:cs="宋体" w:hint="eastAsia"/>
          <w:color w:val="000000"/>
          <w:kern w:val="0"/>
          <w:sz w:val="19"/>
          <w:szCs w:val="19"/>
        </w:rPr>
        <w:t>、塞力斯、</w:t>
      </w:r>
      <w:proofErr w:type="gramStart"/>
      <w:r w:rsidRPr="00941AD1">
        <w:rPr>
          <w:rFonts w:ascii="宋体" w:eastAsia="宋体" w:hAnsi="宋体" w:cs="宋体" w:hint="eastAsia"/>
          <w:color w:val="000000"/>
          <w:kern w:val="0"/>
          <w:sz w:val="19"/>
          <w:szCs w:val="19"/>
        </w:rPr>
        <w:t>兆易创新</w:t>
      </w:r>
      <w:proofErr w:type="gramEnd"/>
      <w:r w:rsidRPr="00941AD1">
        <w:rPr>
          <w:rFonts w:ascii="宋体" w:eastAsia="宋体" w:hAnsi="宋体" w:cs="宋体" w:hint="eastAsia"/>
          <w:color w:val="000000"/>
          <w:kern w:val="0"/>
          <w:sz w:val="19"/>
          <w:szCs w:val="19"/>
        </w:rPr>
        <w:t>和长春高新为沪深主板的个股，其余均为中小创品种。</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尽管百元股军团中中小创的股票居多，但绩优股仍占多数，27只百元股中，有15只个股2013年、2014年、2015年连续3年净利润出现同比增长，占比55.55%。从2016年业绩来看，这15只绩优股整体表现突出，已披露年报的尚品宅配、</w:t>
      </w:r>
      <w:hyperlink r:id="rId26" w:tgtFrame="_blank" w:history="1">
        <w:r w:rsidRPr="00941AD1">
          <w:rPr>
            <w:rFonts w:ascii="宋体" w:eastAsia="宋体" w:hAnsi="宋体" w:cs="宋体" w:hint="eastAsia"/>
            <w:color w:val="043396"/>
            <w:kern w:val="0"/>
            <w:sz w:val="19"/>
            <w:u w:val="single"/>
          </w:rPr>
          <w:t>乐</w:t>
        </w:r>
        <w:proofErr w:type="gramStart"/>
        <w:r w:rsidRPr="00941AD1">
          <w:rPr>
            <w:rFonts w:ascii="宋体" w:eastAsia="宋体" w:hAnsi="宋体" w:cs="宋体" w:hint="eastAsia"/>
            <w:color w:val="043396"/>
            <w:kern w:val="0"/>
            <w:sz w:val="19"/>
            <w:u w:val="single"/>
          </w:rPr>
          <w:t>心医疗</w:t>
        </w:r>
        <w:proofErr w:type="gramEnd"/>
      </w:hyperlink>
      <w:r w:rsidRPr="00941AD1">
        <w:rPr>
          <w:rFonts w:ascii="宋体" w:eastAsia="宋体" w:hAnsi="宋体" w:cs="宋体" w:hint="eastAsia"/>
          <w:color w:val="000000"/>
          <w:kern w:val="0"/>
          <w:sz w:val="19"/>
          <w:szCs w:val="19"/>
        </w:rPr>
        <w:t>、</w:t>
      </w:r>
      <w:hyperlink r:id="rId27" w:tgtFrame="_blank" w:history="1">
        <w:r w:rsidRPr="00941AD1">
          <w:rPr>
            <w:rFonts w:ascii="宋体" w:eastAsia="宋体" w:hAnsi="宋体" w:cs="宋体" w:hint="eastAsia"/>
            <w:color w:val="043396"/>
            <w:kern w:val="0"/>
            <w:sz w:val="19"/>
            <w:u w:val="single"/>
          </w:rPr>
          <w:t>科达利</w:t>
        </w:r>
      </w:hyperlink>
      <w:r w:rsidRPr="00941AD1">
        <w:rPr>
          <w:rFonts w:ascii="宋体" w:eastAsia="宋体" w:hAnsi="宋体" w:cs="宋体" w:hint="eastAsia"/>
          <w:color w:val="000000"/>
          <w:kern w:val="0"/>
          <w:sz w:val="19"/>
          <w:szCs w:val="19"/>
        </w:rPr>
        <w:t>、荣泰健康和塞力斯等个股年报净利润均出现不同程度增长，分别为：83.12%、60.44%、50.61%、44.81%和12.14%；而其余10只个股中，截至昨日，有9只个股披露年报业绩预告，</w:t>
      </w:r>
      <w:proofErr w:type="gramStart"/>
      <w:r w:rsidRPr="00941AD1">
        <w:rPr>
          <w:rFonts w:ascii="宋体" w:eastAsia="宋体" w:hAnsi="宋体" w:cs="宋体" w:hint="eastAsia"/>
          <w:color w:val="000000"/>
          <w:kern w:val="0"/>
          <w:sz w:val="19"/>
          <w:szCs w:val="19"/>
        </w:rPr>
        <w:t>均预喜</w:t>
      </w:r>
      <w:proofErr w:type="gramEnd"/>
      <w:r w:rsidRPr="00941AD1">
        <w:rPr>
          <w:rFonts w:ascii="宋体" w:eastAsia="宋体" w:hAnsi="宋体" w:cs="宋体" w:hint="eastAsia"/>
          <w:color w:val="000000"/>
          <w:kern w:val="0"/>
          <w:sz w:val="19"/>
          <w:szCs w:val="19"/>
        </w:rPr>
        <w:t>，</w:t>
      </w:r>
      <w:proofErr w:type="gramStart"/>
      <w:r w:rsidRPr="00941AD1">
        <w:rPr>
          <w:rFonts w:ascii="宋体" w:eastAsia="宋体" w:hAnsi="宋体" w:cs="宋体" w:hint="eastAsia"/>
          <w:color w:val="000000"/>
          <w:kern w:val="0"/>
          <w:sz w:val="19"/>
          <w:szCs w:val="19"/>
        </w:rPr>
        <w:t>其中预增1只</w:t>
      </w:r>
      <w:proofErr w:type="gramEnd"/>
      <w:r w:rsidRPr="00941AD1">
        <w:rPr>
          <w:rFonts w:ascii="宋体" w:eastAsia="宋体" w:hAnsi="宋体" w:cs="宋体" w:hint="eastAsia"/>
          <w:color w:val="000000"/>
          <w:kern w:val="0"/>
          <w:sz w:val="19"/>
          <w:szCs w:val="19"/>
        </w:rPr>
        <w:t>个股、略增7只个股、续盈1只个股。</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对此，市场人士表示，百元股由于市场数量较少，人气、市场关注度一直较高，尤其是以贵州茅台、长春高新为代表的大盘蓝筹股，在其它高价股股价纷纷长期跌回百元以下情况下，这些个股股价仍坚守在百元以上，或者多次从低拉重回百元以上，体现出一定的投资机会。这些蓝筹股每次股价的大幅回调都是低吸良机。</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以长春高新为例，该股在去年5月30日创出阶段新低87.90元后，股价随后展开反弹，震荡上扬，一度冲高至123.50元，期间累计涨幅近40%，在此之后，股价震荡回落，但最新收盘价仍达到114.41元。</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《证券日报》记者统计发现，除上市后一</w:t>
      </w:r>
      <w:proofErr w:type="gramStart"/>
      <w:r w:rsidRPr="00941AD1">
        <w:rPr>
          <w:rFonts w:ascii="宋体" w:eastAsia="宋体" w:hAnsi="宋体" w:cs="宋体" w:hint="eastAsia"/>
          <w:color w:val="000000"/>
          <w:kern w:val="0"/>
          <w:sz w:val="19"/>
          <w:szCs w:val="19"/>
        </w:rPr>
        <w:t>字涨停尚未</w:t>
      </w:r>
      <w:proofErr w:type="gramEnd"/>
      <w:r w:rsidRPr="00941AD1">
        <w:rPr>
          <w:rFonts w:ascii="宋体" w:eastAsia="宋体" w:hAnsi="宋体" w:cs="宋体" w:hint="eastAsia"/>
          <w:color w:val="000000"/>
          <w:kern w:val="0"/>
          <w:sz w:val="19"/>
          <w:szCs w:val="19"/>
        </w:rPr>
        <w:t>打开的</w:t>
      </w:r>
      <w:proofErr w:type="gramStart"/>
      <w:r w:rsidRPr="00941AD1">
        <w:rPr>
          <w:rFonts w:ascii="宋体" w:eastAsia="宋体" w:hAnsi="宋体" w:cs="宋体" w:hint="eastAsia"/>
          <w:color w:val="000000"/>
          <w:kern w:val="0"/>
          <w:sz w:val="19"/>
          <w:szCs w:val="19"/>
        </w:rPr>
        <w:t>安靠智电</w:t>
      </w:r>
      <w:proofErr w:type="gramEnd"/>
      <w:r w:rsidRPr="00941AD1">
        <w:rPr>
          <w:rFonts w:ascii="宋体" w:eastAsia="宋体" w:hAnsi="宋体" w:cs="宋体" w:hint="eastAsia"/>
          <w:color w:val="000000"/>
          <w:kern w:val="0"/>
          <w:sz w:val="19"/>
          <w:szCs w:val="19"/>
        </w:rPr>
        <w:t>、</w:t>
      </w:r>
      <w:hyperlink r:id="rId28" w:tgtFrame="_blank" w:history="1">
        <w:r w:rsidRPr="00941AD1">
          <w:rPr>
            <w:rFonts w:ascii="宋体" w:eastAsia="宋体" w:hAnsi="宋体" w:cs="宋体" w:hint="eastAsia"/>
            <w:color w:val="043396"/>
            <w:kern w:val="0"/>
            <w:sz w:val="19"/>
            <w:u w:val="single"/>
          </w:rPr>
          <w:t>富瀚微</w:t>
        </w:r>
      </w:hyperlink>
      <w:r w:rsidRPr="00941AD1">
        <w:rPr>
          <w:rFonts w:ascii="宋体" w:eastAsia="宋体" w:hAnsi="宋体" w:cs="宋体" w:hint="eastAsia"/>
          <w:color w:val="000000"/>
          <w:kern w:val="0"/>
          <w:sz w:val="19"/>
          <w:szCs w:val="19"/>
        </w:rPr>
        <w:t>外，11只百元股近5日累计大</w:t>
      </w:r>
      <w:proofErr w:type="gramStart"/>
      <w:r w:rsidRPr="00941AD1">
        <w:rPr>
          <w:rFonts w:ascii="宋体" w:eastAsia="宋体" w:hAnsi="宋体" w:cs="宋体" w:hint="eastAsia"/>
          <w:color w:val="000000"/>
          <w:kern w:val="0"/>
          <w:sz w:val="19"/>
          <w:szCs w:val="19"/>
        </w:rPr>
        <w:t>单资金</w:t>
      </w:r>
      <w:proofErr w:type="gramEnd"/>
      <w:r w:rsidRPr="00941AD1">
        <w:rPr>
          <w:rFonts w:ascii="宋体" w:eastAsia="宋体" w:hAnsi="宋体" w:cs="宋体"/>
          <w:color w:val="000000"/>
          <w:kern w:val="0"/>
          <w:sz w:val="19"/>
          <w:szCs w:val="19"/>
        </w:rPr>
        <w:fldChar w:fldCharType="begin"/>
      </w:r>
      <w:r w:rsidRPr="00941AD1">
        <w:rPr>
          <w:rFonts w:ascii="宋体" w:eastAsia="宋体" w:hAnsi="宋体" w:cs="宋体"/>
          <w:color w:val="000000"/>
          <w:kern w:val="0"/>
          <w:sz w:val="19"/>
          <w:szCs w:val="19"/>
        </w:rPr>
        <w:instrText xml:space="preserve"> HYPERLINK "http://data.eastmoney.com/zjlx/" \t "_blank" </w:instrText>
      </w:r>
      <w:r w:rsidRPr="00941AD1">
        <w:rPr>
          <w:rFonts w:ascii="宋体" w:eastAsia="宋体" w:hAnsi="宋体" w:cs="宋体"/>
          <w:color w:val="000000"/>
          <w:kern w:val="0"/>
          <w:sz w:val="19"/>
          <w:szCs w:val="19"/>
        </w:rPr>
        <w:fldChar w:fldCharType="separate"/>
      </w:r>
      <w:r w:rsidRPr="00941AD1">
        <w:rPr>
          <w:rFonts w:ascii="宋体" w:eastAsia="宋体" w:hAnsi="宋体" w:cs="宋体" w:hint="eastAsia"/>
          <w:color w:val="043396"/>
          <w:kern w:val="0"/>
          <w:sz w:val="19"/>
          <w:u w:val="single"/>
        </w:rPr>
        <w:t>净流入</w:t>
      </w:r>
      <w:r w:rsidRPr="00941AD1">
        <w:rPr>
          <w:rFonts w:ascii="宋体" w:eastAsia="宋体" w:hAnsi="宋体" w:cs="宋体"/>
          <w:color w:val="000000"/>
          <w:kern w:val="0"/>
          <w:sz w:val="19"/>
          <w:szCs w:val="19"/>
        </w:rPr>
        <w:fldChar w:fldCharType="end"/>
      </w:r>
      <w:r w:rsidRPr="00941AD1">
        <w:rPr>
          <w:rFonts w:ascii="宋体" w:eastAsia="宋体" w:hAnsi="宋体" w:cs="宋体" w:hint="eastAsia"/>
          <w:color w:val="000000"/>
          <w:kern w:val="0"/>
          <w:sz w:val="19"/>
          <w:szCs w:val="19"/>
        </w:rPr>
        <w:t>均在1000万元以上，富瀚微期间累计大</w:t>
      </w:r>
      <w:proofErr w:type="gramStart"/>
      <w:r w:rsidRPr="00941AD1">
        <w:rPr>
          <w:rFonts w:ascii="宋体" w:eastAsia="宋体" w:hAnsi="宋体" w:cs="宋体" w:hint="eastAsia"/>
          <w:color w:val="000000"/>
          <w:kern w:val="0"/>
          <w:sz w:val="19"/>
          <w:szCs w:val="19"/>
        </w:rPr>
        <w:t>单资金</w:t>
      </w:r>
      <w:proofErr w:type="gramEnd"/>
      <w:r w:rsidRPr="00941AD1">
        <w:rPr>
          <w:rFonts w:ascii="宋体" w:eastAsia="宋体" w:hAnsi="宋体" w:cs="宋体" w:hint="eastAsia"/>
          <w:color w:val="000000"/>
          <w:kern w:val="0"/>
          <w:sz w:val="19"/>
          <w:szCs w:val="19"/>
        </w:rPr>
        <w:t>净流入居首，达到12.28亿元，而科达利、贵州茅台、</w:t>
      </w:r>
      <w:proofErr w:type="gramStart"/>
      <w:r w:rsidRPr="00941AD1">
        <w:rPr>
          <w:rFonts w:ascii="宋体" w:eastAsia="宋体" w:hAnsi="宋体" w:cs="宋体" w:hint="eastAsia"/>
          <w:color w:val="000000"/>
          <w:kern w:val="0"/>
          <w:sz w:val="19"/>
          <w:szCs w:val="19"/>
        </w:rPr>
        <w:t>兆易创新</w:t>
      </w:r>
      <w:proofErr w:type="gramEnd"/>
      <w:r w:rsidRPr="00941AD1">
        <w:rPr>
          <w:rFonts w:ascii="宋体" w:eastAsia="宋体" w:hAnsi="宋体" w:cs="宋体" w:hint="eastAsia"/>
          <w:color w:val="000000"/>
          <w:kern w:val="0"/>
          <w:sz w:val="19"/>
          <w:szCs w:val="19"/>
        </w:rPr>
        <w:t>等个股期间累计大</w:t>
      </w:r>
      <w:proofErr w:type="gramStart"/>
      <w:r w:rsidRPr="00941AD1">
        <w:rPr>
          <w:rFonts w:ascii="宋体" w:eastAsia="宋体" w:hAnsi="宋体" w:cs="宋体" w:hint="eastAsia"/>
          <w:color w:val="000000"/>
          <w:kern w:val="0"/>
          <w:sz w:val="19"/>
          <w:szCs w:val="19"/>
        </w:rPr>
        <w:t>单资金</w:t>
      </w:r>
      <w:proofErr w:type="gramEnd"/>
      <w:r w:rsidRPr="00941AD1">
        <w:rPr>
          <w:rFonts w:ascii="宋体" w:eastAsia="宋体" w:hAnsi="宋体" w:cs="宋体" w:hint="eastAsia"/>
          <w:color w:val="000000"/>
          <w:kern w:val="0"/>
          <w:sz w:val="19"/>
          <w:szCs w:val="19"/>
        </w:rPr>
        <w:t>净流入也均在亿元以上，分别为：8.34亿元、2.70亿元、1.71亿元。另外，其余7只</w:t>
      </w:r>
      <w:proofErr w:type="gramStart"/>
      <w:r w:rsidRPr="00941AD1">
        <w:rPr>
          <w:rFonts w:ascii="宋体" w:eastAsia="宋体" w:hAnsi="宋体" w:cs="宋体" w:hint="eastAsia"/>
          <w:color w:val="000000"/>
          <w:kern w:val="0"/>
          <w:sz w:val="19"/>
          <w:szCs w:val="19"/>
        </w:rPr>
        <w:t>个股分</w:t>
      </w:r>
      <w:proofErr w:type="gramEnd"/>
      <w:r w:rsidRPr="00941AD1">
        <w:rPr>
          <w:rFonts w:ascii="宋体" w:eastAsia="宋体" w:hAnsi="宋体" w:cs="宋体" w:hint="eastAsia"/>
          <w:color w:val="000000"/>
          <w:kern w:val="0"/>
          <w:sz w:val="19"/>
          <w:szCs w:val="19"/>
        </w:rPr>
        <w:t>别为：塞力斯、</w:t>
      </w:r>
      <w:hyperlink r:id="rId29" w:tgtFrame="_blank" w:history="1">
        <w:r w:rsidRPr="00941AD1">
          <w:rPr>
            <w:rFonts w:ascii="宋体" w:eastAsia="宋体" w:hAnsi="宋体" w:cs="宋体" w:hint="eastAsia"/>
            <w:color w:val="043396"/>
            <w:kern w:val="0"/>
            <w:sz w:val="19"/>
            <w:u w:val="single"/>
          </w:rPr>
          <w:t>冰川网络</w:t>
        </w:r>
      </w:hyperlink>
      <w:r w:rsidRPr="00941AD1">
        <w:rPr>
          <w:rFonts w:ascii="宋体" w:eastAsia="宋体" w:hAnsi="宋体" w:cs="宋体" w:hint="eastAsia"/>
          <w:color w:val="000000"/>
          <w:kern w:val="0"/>
          <w:sz w:val="19"/>
          <w:szCs w:val="19"/>
        </w:rPr>
        <w:t>、长春高新、</w:t>
      </w:r>
      <w:hyperlink r:id="rId30" w:tgtFrame="_blank" w:history="1">
        <w:proofErr w:type="gramStart"/>
        <w:r w:rsidRPr="00941AD1">
          <w:rPr>
            <w:rFonts w:ascii="宋体" w:eastAsia="宋体" w:hAnsi="宋体" w:cs="宋体" w:hint="eastAsia"/>
            <w:color w:val="043396"/>
            <w:kern w:val="0"/>
            <w:sz w:val="19"/>
            <w:u w:val="single"/>
          </w:rPr>
          <w:t>苏奥传感</w:t>
        </w:r>
        <w:proofErr w:type="gramEnd"/>
      </w:hyperlink>
      <w:r w:rsidRPr="00941AD1">
        <w:rPr>
          <w:rFonts w:ascii="宋体" w:eastAsia="宋体" w:hAnsi="宋体" w:cs="宋体" w:hint="eastAsia"/>
          <w:color w:val="000000"/>
          <w:kern w:val="0"/>
          <w:sz w:val="19"/>
          <w:szCs w:val="19"/>
        </w:rPr>
        <w:t>、微光股份、荣泰健康和</w:t>
      </w:r>
      <w:hyperlink r:id="rId31" w:tgtFrame="_blank" w:history="1">
        <w:r w:rsidRPr="00941AD1">
          <w:rPr>
            <w:rFonts w:ascii="宋体" w:eastAsia="宋体" w:hAnsi="宋体" w:cs="宋体" w:hint="eastAsia"/>
            <w:color w:val="043396"/>
            <w:kern w:val="0"/>
            <w:sz w:val="19"/>
            <w:u w:val="single"/>
          </w:rPr>
          <w:t>维</w:t>
        </w:r>
        <w:proofErr w:type="gramStart"/>
        <w:r w:rsidRPr="00941AD1">
          <w:rPr>
            <w:rFonts w:ascii="宋体" w:eastAsia="宋体" w:hAnsi="宋体" w:cs="宋体" w:hint="eastAsia"/>
            <w:color w:val="043396"/>
            <w:kern w:val="0"/>
            <w:sz w:val="19"/>
            <w:u w:val="single"/>
          </w:rPr>
          <w:t>宏股份</w:t>
        </w:r>
        <w:proofErr w:type="gramEnd"/>
      </w:hyperlink>
      <w:r w:rsidRPr="00941AD1">
        <w:rPr>
          <w:rFonts w:ascii="宋体" w:eastAsia="宋体" w:hAnsi="宋体" w:cs="宋体" w:hint="eastAsia"/>
          <w:color w:val="000000"/>
          <w:kern w:val="0"/>
          <w:sz w:val="19"/>
          <w:szCs w:val="19"/>
        </w:rPr>
        <w:t>，期间累计大</w:t>
      </w:r>
      <w:proofErr w:type="gramStart"/>
      <w:r w:rsidRPr="00941AD1">
        <w:rPr>
          <w:rFonts w:ascii="宋体" w:eastAsia="宋体" w:hAnsi="宋体" w:cs="宋体" w:hint="eastAsia"/>
          <w:color w:val="000000"/>
          <w:kern w:val="0"/>
          <w:sz w:val="19"/>
          <w:szCs w:val="19"/>
        </w:rPr>
        <w:t>单资金</w:t>
      </w:r>
      <w:proofErr w:type="gramEnd"/>
      <w:r w:rsidRPr="00941AD1">
        <w:rPr>
          <w:rFonts w:ascii="宋体" w:eastAsia="宋体" w:hAnsi="宋体" w:cs="宋体" w:hint="eastAsia"/>
          <w:color w:val="000000"/>
          <w:kern w:val="0"/>
          <w:sz w:val="19"/>
          <w:szCs w:val="19"/>
        </w:rPr>
        <w:t>净流入分别为：5436万元、2732万元、2647万元、1845万元、1508万元、1226万元和1065万元。</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在资金大幅追捧高价股的同时，部分高价股也受到了机构的看好，贵州茅台、长春高新、</w:t>
      </w:r>
      <w:proofErr w:type="gramStart"/>
      <w:r w:rsidRPr="00941AD1">
        <w:rPr>
          <w:rFonts w:ascii="宋体" w:eastAsia="宋体" w:hAnsi="宋体" w:cs="宋体" w:hint="eastAsia"/>
          <w:color w:val="000000"/>
          <w:kern w:val="0"/>
          <w:sz w:val="19"/>
          <w:szCs w:val="19"/>
        </w:rPr>
        <w:t>兆易创新</w:t>
      </w:r>
      <w:proofErr w:type="gramEnd"/>
      <w:r w:rsidRPr="00941AD1">
        <w:rPr>
          <w:rFonts w:ascii="宋体" w:eastAsia="宋体" w:hAnsi="宋体" w:cs="宋体" w:hint="eastAsia"/>
          <w:color w:val="000000"/>
          <w:kern w:val="0"/>
          <w:sz w:val="19"/>
          <w:szCs w:val="19"/>
        </w:rPr>
        <w:t>、</w:t>
      </w:r>
      <w:hyperlink r:id="rId32" w:tgtFrame="_blank" w:history="1">
        <w:r w:rsidRPr="00941AD1">
          <w:rPr>
            <w:rFonts w:ascii="宋体" w:eastAsia="宋体" w:hAnsi="宋体" w:cs="宋体" w:hint="eastAsia"/>
            <w:color w:val="043396"/>
            <w:kern w:val="0"/>
            <w:sz w:val="19"/>
            <w:u w:val="single"/>
          </w:rPr>
          <w:t>欧</w:t>
        </w:r>
        <w:proofErr w:type="gramStart"/>
        <w:r w:rsidRPr="00941AD1">
          <w:rPr>
            <w:rFonts w:ascii="宋体" w:eastAsia="宋体" w:hAnsi="宋体" w:cs="宋体" w:hint="eastAsia"/>
            <w:color w:val="043396"/>
            <w:kern w:val="0"/>
            <w:sz w:val="19"/>
            <w:u w:val="single"/>
          </w:rPr>
          <w:t>普康视</w:t>
        </w:r>
        <w:proofErr w:type="gramEnd"/>
      </w:hyperlink>
      <w:r w:rsidRPr="00941AD1">
        <w:rPr>
          <w:rFonts w:ascii="宋体" w:eastAsia="宋体" w:hAnsi="宋体" w:cs="宋体" w:hint="eastAsia"/>
          <w:color w:val="000000"/>
          <w:kern w:val="0"/>
          <w:sz w:val="19"/>
          <w:szCs w:val="19"/>
        </w:rPr>
        <w:t>、吉比特等个股近30日内机构“买入”评级均在2家以上，分别为12家、7家、2家、2家和2家。</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lastRenderedPageBreak/>
        <w:t xml:space="preserve">　　除上述百元股外，未来又有哪些个股有望跻身百元股阵营呢？《证券日报》记者根据数据统计显示，</w:t>
      </w:r>
      <w:hyperlink r:id="rId33" w:tgtFrame="_blank" w:history="1">
        <w:r w:rsidRPr="00941AD1">
          <w:rPr>
            <w:rFonts w:ascii="宋体" w:eastAsia="宋体" w:hAnsi="宋体" w:cs="宋体" w:hint="eastAsia"/>
            <w:color w:val="043396"/>
            <w:kern w:val="0"/>
            <w:sz w:val="19"/>
            <w:u w:val="single"/>
          </w:rPr>
          <w:t>全信股份</w:t>
        </w:r>
      </w:hyperlink>
      <w:r w:rsidRPr="00941AD1">
        <w:rPr>
          <w:rFonts w:ascii="宋体" w:eastAsia="宋体" w:hAnsi="宋体" w:cs="宋体" w:hint="eastAsia"/>
          <w:color w:val="000000"/>
          <w:kern w:val="0"/>
          <w:sz w:val="19"/>
          <w:szCs w:val="19"/>
        </w:rPr>
        <w:t>、</w:t>
      </w:r>
      <w:hyperlink r:id="rId34" w:tgtFrame="_blank" w:history="1">
        <w:r w:rsidRPr="00941AD1">
          <w:rPr>
            <w:rFonts w:ascii="宋体" w:eastAsia="宋体" w:hAnsi="宋体" w:cs="宋体" w:hint="eastAsia"/>
            <w:color w:val="043396"/>
            <w:kern w:val="0"/>
            <w:sz w:val="19"/>
            <w:u w:val="single"/>
          </w:rPr>
          <w:t>汇金科技</w:t>
        </w:r>
      </w:hyperlink>
      <w:r w:rsidRPr="00941AD1">
        <w:rPr>
          <w:rFonts w:ascii="宋体" w:eastAsia="宋体" w:hAnsi="宋体" w:cs="宋体" w:hint="eastAsia"/>
          <w:color w:val="000000"/>
          <w:kern w:val="0"/>
          <w:sz w:val="19"/>
          <w:szCs w:val="19"/>
        </w:rPr>
        <w:t>、</w:t>
      </w:r>
      <w:hyperlink r:id="rId35" w:tgtFrame="_blank" w:history="1">
        <w:r w:rsidRPr="00941AD1">
          <w:rPr>
            <w:rFonts w:ascii="宋体" w:eastAsia="宋体" w:hAnsi="宋体" w:cs="宋体" w:hint="eastAsia"/>
            <w:color w:val="043396"/>
            <w:kern w:val="0"/>
            <w:sz w:val="19"/>
            <w:u w:val="single"/>
          </w:rPr>
          <w:t>开润股份</w:t>
        </w:r>
      </w:hyperlink>
      <w:r w:rsidRPr="00941AD1">
        <w:rPr>
          <w:rFonts w:ascii="宋体" w:eastAsia="宋体" w:hAnsi="宋体" w:cs="宋体" w:hint="eastAsia"/>
          <w:color w:val="000000"/>
          <w:kern w:val="0"/>
          <w:sz w:val="19"/>
          <w:szCs w:val="19"/>
        </w:rPr>
        <w:t>、</w:t>
      </w:r>
      <w:hyperlink r:id="rId36" w:tgtFrame="_blank" w:history="1">
        <w:r w:rsidRPr="00941AD1">
          <w:rPr>
            <w:rFonts w:ascii="宋体" w:eastAsia="宋体" w:hAnsi="宋体" w:cs="宋体" w:hint="eastAsia"/>
            <w:color w:val="043396"/>
            <w:kern w:val="0"/>
            <w:sz w:val="19"/>
            <w:u w:val="single"/>
          </w:rPr>
          <w:t>洋河股份</w:t>
        </w:r>
      </w:hyperlink>
      <w:r w:rsidRPr="00941AD1">
        <w:rPr>
          <w:rFonts w:ascii="宋体" w:eastAsia="宋体" w:hAnsi="宋体" w:cs="宋体" w:hint="eastAsia"/>
          <w:color w:val="000000"/>
          <w:kern w:val="0"/>
          <w:sz w:val="19"/>
          <w:szCs w:val="19"/>
        </w:rPr>
        <w:t>、</w:t>
      </w:r>
      <w:hyperlink r:id="rId37" w:tgtFrame="_blank" w:history="1">
        <w:proofErr w:type="gramStart"/>
        <w:r w:rsidRPr="00941AD1">
          <w:rPr>
            <w:rFonts w:ascii="宋体" w:eastAsia="宋体" w:hAnsi="宋体" w:cs="宋体" w:hint="eastAsia"/>
            <w:color w:val="043396"/>
            <w:kern w:val="0"/>
            <w:sz w:val="19"/>
            <w:u w:val="single"/>
          </w:rPr>
          <w:t>光迅科技</w:t>
        </w:r>
        <w:proofErr w:type="gramEnd"/>
      </w:hyperlink>
      <w:r w:rsidRPr="00941AD1">
        <w:rPr>
          <w:rFonts w:ascii="宋体" w:eastAsia="宋体" w:hAnsi="宋体" w:cs="宋体" w:hint="eastAsia"/>
          <w:color w:val="000000"/>
          <w:kern w:val="0"/>
          <w:sz w:val="19"/>
          <w:szCs w:val="19"/>
        </w:rPr>
        <w:t>、</w:t>
      </w:r>
      <w:hyperlink r:id="rId38" w:tgtFrame="_blank" w:history="1">
        <w:r w:rsidRPr="00941AD1">
          <w:rPr>
            <w:rFonts w:ascii="宋体" w:eastAsia="宋体" w:hAnsi="宋体" w:cs="宋体" w:hint="eastAsia"/>
            <w:color w:val="043396"/>
            <w:kern w:val="0"/>
            <w:sz w:val="19"/>
            <w:u w:val="single"/>
          </w:rPr>
          <w:t>星源材质</w:t>
        </w:r>
      </w:hyperlink>
      <w:r w:rsidRPr="00941AD1">
        <w:rPr>
          <w:rFonts w:ascii="宋体" w:eastAsia="宋体" w:hAnsi="宋体" w:cs="宋体" w:hint="eastAsia"/>
          <w:color w:val="000000"/>
          <w:kern w:val="0"/>
          <w:sz w:val="19"/>
          <w:szCs w:val="19"/>
        </w:rPr>
        <w:t>、</w:t>
      </w:r>
      <w:hyperlink r:id="rId39" w:tgtFrame="_blank" w:history="1">
        <w:r w:rsidRPr="00941AD1">
          <w:rPr>
            <w:rFonts w:ascii="宋体" w:eastAsia="宋体" w:hAnsi="宋体" w:cs="宋体" w:hint="eastAsia"/>
            <w:color w:val="043396"/>
            <w:kern w:val="0"/>
            <w:sz w:val="19"/>
            <w:u w:val="single"/>
          </w:rPr>
          <w:t>华东医药</w:t>
        </w:r>
      </w:hyperlink>
      <w:r w:rsidRPr="00941AD1">
        <w:rPr>
          <w:rFonts w:ascii="宋体" w:eastAsia="宋体" w:hAnsi="宋体" w:cs="宋体" w:hint="eastAsia"/>
          <w:color w:val="000000"/>
          <w:kern w:val="0"/>
          <w:sz w:val="19"/>
          <w:szCs w:val="19"/>
        </w:rPr>
        <w:t>和</w:t>
      </w:r>
      <w:hyperlink r:id="rId40" w:tgtFrame="_blank" w:history="1">
        <w:r w:rsidRPr="00941AD1">
          <w:rPr>
            <w:rFonts w:ascii="宋体" w:eastAsia="宋体" w:hAnsi="宋体" w:cs="宋体" w:hint="eastAsia"/>
            <w:color w:val="043396"/>
            <w:kern w:val="0"/>
            <w:sz w:val="19"/>
            <w:u w:val="single"/>
          </w:rPr>
          <w:t>星</w:t>
        </w:r>
        <w:proofErr w:type="gramStart"/>
        <w:r w:rsidRPr="00941AD1">
          <w:rPr>
            <w:rFonts w:ascii="宋体" w:eastAsia="宋体" w:hAnsi="宋体" w:cs="宋体" w:hint="eastAsia"/>
            <w:color w:val="043396"/>
            <w:kern w:val="0"/>
            <w:sz w:val="19"/>
            <w:u w:val="single"/>
          </w:rPr>
          <w:t>网宇达</w:t>
        </w:r>
        <w:proofErr w:type="gramEnd"/>
      </w:hyperlink>
      <w:r w:rsidRPr="00941AD1">
        <w:rPr>
          <w:rFonts w:ascii="宋体" w:eastAsia="宋体" w:hAnsi="宋体" w:cs="宋体" w:hint="eastAsia"/>
          <w:color w:val="000000"/>
          <w:kern w:val="0"/>
          <w:sz w:val="19"/>
          <w:szCs w:val="19"/>
        </w:rPr>
        <w:t>等8只个股机构预测目标价在100元以上，分别为：100.00元、140.90元、123.00元、115.00元、100.00元、102.00元、101.25元和103.50元，最新收盘价</w:t>
      </w:r>
      <w:proofErr w:type="gramStart"/>
      <w:r w:rsidRPr="00941AD1">
        <w:rPr>
          <w:rFonts w:ascii="宋体" w:eastAsia="宋体" w:hAnsi="宋体" w:cs="宋体" w:hint="eastAsia"/>
          <w:color w:val="000000"/>
          <w:kern w:val="0"/>
          <w:sz w:val="19"/>
          <w:szCs w:val="19"/>
        </w:rPr>
        <w:t>较目标价涨幅</w:t>
      </w:r>
      <w:proofErr w:type="gramEnd"/>
      <w:r w:rsidRPr="00941AD1">
        <w:rPr>
          <w:rFonts w:ascii="宋体" w:eastAsia="宋体" w:hAnsi="宋体" w:cs="宋体" w:hint="eastAsia"/>
          <w:color w:val="000000"/>
          <w:kern w:val="0"/>
          <w:sz w:val="19"/>
          <w:szCs w:val="19"/>
        </w:rPr>
        <w:t>空间分别为：98.93%、85.39%、48.82%、34.03%、28.40%、27.06%、22.40%和15.90%，这些个股后续表现或较为值得关注。</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b/>
          <w:bCs/>
          <w:color w:val="000000"/>
          <w:kern w:val="0"/>
          <w:sz w:val="19"/>
        </w:rPr>
        <w:t xml:space="preserve">　　贵州茅台 两大逻辑支撑“股王”地位</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有着资本市场“股王”之称的贵州茅台，3月10日盘中股价再一次刷新纪录，当天</w:t>
      </w:r>
      <w:proofErr w:type="gramStart"/>
      <w:r w:rsidRPr="00941AD1">
        <w:rPr>
          <w:rFonts w:ascii="宋体" w:eastAsia="宋体" w:hAnsi="宋体" w:cs="宋体" w:hint="eastAsia"/>
          <w:color w:val="000000"/>
          <w:kern w:val="0"/>
          <w:sz w:val="19"/>
          <w:szCs w:val="19"/>
        </w:rPr>
        <w:t>最</w:t>
      </w:r>
      <w:proofErr w:type="gramEnd"/>
      <w:r w:rsidRPr="00941AD1">
        <w:rPr>
          <w:rFonts w:ascii="宋体" w:eastAsia="宋体" w:hAnsi="宋体" w:cs="宋体" w:hint="eastAsia"/>
          <w:color w:val="000000"/>
          <w:kern w:val="0"/>
          <w:sz w:val="19"/>
          <w:szCs w:val="19"/>
        </w:rPr>
        <w:t>高价达377.00元，这也是贵州茅台自上市以来的历史新高，截至3月15日，根据复权后计算股价，贵州茅台的最新收盘价已经达到2270.96元。对此，分析人士指出，A股历史上的牛股多如过江之鲫，但如贵州茅台股价长年持续上涨的股票却并不多。</w:t>
      </w:r>
      <w:r w:rsidRPr="00941AD1">
        <w:rPr>
          <w:rFonts w:ascii="宋体" w:eastAsia="宋体" w:hAnsi="宋体" w:cs="宋体" w:hint="eastAsia"/>
          <w:color w:val="FFFFFF" w:themeColor="background1"/>
          <w:kern w:val="0"/>
          <w:sz w:val="19"/>
          <w:szCs w:val="19"/>
          <w:shd w:val="clear" w:color="auto" w:fill="C00000"/>
        </w:rPr>
        <w:t>A股大部分牛</w:t>
      </w:r>
      <w:proofErr w:type="gramStart"/>
      <w:r w:rsidRPr="00941AD1">
        <w:rPr>
          <w:rFonts w:ascii="宋体" w:eastAsia="宋体" w:hAnsi="宋体" w:cs="宋体" w:hint="eastAsia"/>
          <w:color w:val="FFFFFF" w:themeColor="background1"/>
          <w:kern w:val="0"/>
          <w:sz w:val="19"/>
          <w:szCs w:val="19"/>
          <w:shd w:val="clear" w:color="auto" w:fill="C00000"/>
        </w:rPr>
        <w:t>股依靠</w:t>
      </w:r>
      <w:proofErr w:type="gramEnd"/>
      <w:r w:rsidRPr="00941AD1">
        <w:rPr>
          <w:rFonts w:ascii="宋体" w:eastAsia="宋体" w:hAnsi="宋体" w:cs="宋体" w:hint="eastAsia"/>
          <w:color w:val="FFFFFF" w:themeColor="background1"/>
          <w:kern w:val="0"/>
          <w:sz w:val="19"/>
          <w:szCs w:val="19"/>
          <w:shd w:val="clear" w:color="auto" w:fill="C00000"/>
        </w:rPr>
        <w:t>概念、股价低、股本小、次新等特征，容易被市场资金在短时间内热炒，从而实现股价暴涨，但这种暴涨是不能持久的。与其他一些稍纵即逝的牛股不一样的是，贵州茅台有着强有力的业绩后盾作为支撑</w:t>
      </w:r>
      <w:r w:rsidRPr="00941AD1">
        <w:rPr>
          <w:rFonts w:ascii="宋体" w:eastAsia="宋体" w:hAnsi="宋体" w:cs="宋体" w:hint="eastAsia"/>
          <w:color w:val="000000"/>
          <w:kern w:val="0"/>
          <w:sz w:val="19"/>
          <w:szCs w:val="19"/>
        </w:rPr>
        <w:t>。</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通过贵州茅台上市以来股价不断创新高的特征梳理，发现其股价大涨主要受到两大逻辑支撑。首先，贵州茅台股价大涨的背后与公司多年来的经营业绩有着密不可分的关系。贵州茅台于2001年 8月份在沪市主板登陆后，公司的营业收入和净利润一直呈现连续上涨的趋势。2001年，贵州茅台的营业收入为16.18亿元，到了2015年，公司实现的营业收入已经高达326.6亿元，而</w:t>
      </w:r>
      <w:r w:rsidRPr="00941AD1">
        <w:rPr>
          <w:rFonts w:ascii="宋体" w:eastAsia="宋体" w:hAnsi="宋体" w:cs="宋体" w:hint="eastAsia"/>
          <w:color w:val="FFFFFF" w:themeColor="background1"/>
          <w:kern w:val="0"/>
          <w:sz w:val="19"/>
          <w:szCs w:val="19"/>
          <w:shd w:val="clear" w:color="auto" w:fill="C00000"/>
        </w:rPr>
        <w:t>对应的净利润也从最初的3.28亿元一路飙涨到155.03亿元</w:t>
      </w:r>
      <w:r w:rsidRPr="00941AD1">
        <w:rPr>
          <w:rFonts w:ascii="宋体" w:eastAsia="宋体" w:hAnsi="宋体" w:cs="宋体" w:hint="eastAsia"/>
          <w:color w:val="000000"/>
          <w:kern w:val="0"/>
          <w:sz w:val="19"/>
          <w:szCs w:val="19"/>
        </w:rPr>
        <w:t>。在14年时间内，贵州茅台的营业收入增长约19倍，净利润增长更是逾46倍之多。去年12月23日公告称， 2016年营业总收入为3985621.36万元，同比变动19.16%；归属于上市公司股东的净利润为1665048.59万元，同比变动7.40%。</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此外，今年一季度</w:t>
      </w:r>
      <w:proofErr w:type="gramStart"/>
      <w:r w:rsidRPr="00941AD1">
        <w:rPr>
          <w:rFonts w:ascii="宋体" w:eastAsia="宋体" w:hAnsi="宋体" w:cs="宋体" w:hint="eastAsia"/>
          <w:color w:val="000000"/>
          <w:kern w:val="0"/>
          <w:sz w:val="19"/>
          <w:szCs w:val="19"/>
        </w:rPr>
        <w:t>业绩超</w:t>
      </w:r>
      <w:proofErr w:type="gramEnd"/>
      <w:r w:rsidRPr="00941AD1">
        <w:rPr>
          <w:rFonts w:ascii="宋体" w:eastAsia="宋体" w:hAnsi="宋体" w:cs="宋体" w:hint="eastAsia"/>
          <w:color w:val="000000"/>
          <w:kern w:val="0"/>
          <w:sz w:val="19"/>
          <w:szCs w:val="19"/>
        </w:rPr>
        <w:t>预期，公司预计2017年第一季度贵州茅台实现营业收入为128.52亿元，同比增长25.38%；实现净利润为56.68亿元，同比增长15.92%；对应每股收益为4.51元。</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其次，除贵州茅台股价上涨获得业绩增长支撑外，大量资金进入该股也是推动股价持续上涨的重要因素之一。《证券日报》市场研究中心根据数据统计显示，2016年以来贵州茅台现身</w:t>
      </w:r>
      <w:hyperlink r:id="rId41" w:tgtFrame="_blank" w:history="1">
        <w:r w:rsidRPr="00941AD1">
          <w:rPr>
            <w:rFonts w:ascii="宋体" w:eastAsia="宋体" w:hAnsi="宋体" w:cs="宋体" w:hint="eastAsia"/>
            <w:color w:val="043396"/>
            <w:kern w:val="0"/>
            <w:sz w:val="19"/>
            <w:u w:val="single"/>
          </w:rPr>
          <w:t>大宗交易</w:t>
        </w:r>
      </w:hyperlink>
      <w:r w:rsidRPr="00941AD1">
        <w:rPr>
          <w:rFonts w:ascii="宋体" w:eastAsia="宋体" w:hAnsi="宋体" w:cs="宋体" w:hint="eastAsia"/>
          <w:color w:val="000000"/>
          <w:kern w:val="0"/>
          <w:sz w:val="19"/>
          <w:szCs w:val="19"/>
        </w:rPr>
        <w:t>115次，期间累计成交额为24.92亿元。其中，</w:t>
      </w:r>
      <w:hyperlink r:id="rId42" w:tgtFrame="_blank" w:history="1">
        <w:r w:rsidRPr="00941AD1">
          <w:rPr>
            <w:rFonts w:ascii="宋体" w:eastAsia="宋体" w:hAnsi="宋体" w:cs="宋体" w:hint="eastAsia"/>
            <w:color w:val="043396"/>
            <w:kern w:val="0"/>
            <w:sz w:val="19"/>
            <w:u w:val="single"/>
          </w:rPr>
          <w:t>中信证券</w:t>
        </w:r>
      </w:hyperlink>
      <w:r w:rsidRPr="00941AD1">
        <w:rPr>
          <w:rFonts w:ascii="宋体" w:eastAsia="宋体" w:hAnsi="宋体" w:cs="宋体" w:hint="eastAsia"/>
          <w:color w:val="000000"/>
          <w:kern w:val="0"/>
          <w:sz w:val="19"/>
          <w:szCs w:val="19"/>
        </w:rPr>
        <w:t>总部(非营业场所)、北京高华证券北京金融大街证券营业部、</w:t>
      </w:r>
      <w:hyperlink r:id="rId43" w:tgtFrame="_blank" w:history="1">
        <w:r w:rsidRPr="00941AD1">
          <w:rPr>
            <w:rFonts w:ascii="宋体" w:eastAsia="宋体" w:hAnsi="宋体" w:cs="宋体" w:hint="eastAsia"/>
            <w:color w:val="043396"/>
            <w:kern w:val="0"/>
            <w:sz w:val="19"/>
            <w:u w:val="single"/>
          </w:rPr>
          <w:t>中金公司</w:t>
        </w:r>
      </w:hyperlink>
      <w:r w:rsidRPr="00941AD1">
        <w:rPr>
          <w:rFonts w:ascii="宋体" w:eastAsia="宋体" w:hAnsi="宋体" w:cs="宋体" w:hint="eastAsia"/>
          <w:color w:val="000000"/>
          <w:kern w:val="0"/>
          <w:sz w:val="19"/>
          <w:szCs w:val="19"/>
        </w:rPr>
        <w:t>上海淮海中路证券营业部、中金公司北京建国门外大街证券营业部、中金公司上海黄浦区湖滨路证券营业部、中金公司上海分公司、中金公司北京建国门外大街证券营业部、瑞银证券上海花园石桥路证券营业部等这些营业部均为Q</w:t>
      </w:r>
      <w:hyperlink r:id="rId44" w:tgtFrame="_blank" w:history="1">
        <w:r w:rsidRPr="00941AD1">
          <w:rPr>
            <w:rFonts w:ascii="宋体" w:eastAsia="宋体" w:hAnsi="宋体" w:cs="宋体" w:hint="eastAsia"/>
            <w:color w:val="043396"/>
            <w:kern w:val="0"/>
            <w:sz w:val="19"/>
            <w:u w:val="single"/>
          </w:rPr>
          <w:t>FI</w:t>
        </w:r>
      </w:hyperlink>
      <w:r w:rsidRPr="00941AD1">
        <w:rPr>
          <w:rFonts w:ascii="宋体" w:eastAsia="宋体" w:hAnsi="宋体" w:cs="宋体" w:hint="eastAsia"/>
          <w:color w:val="000000"/>
          <w:kern w:val="0"/>
          <w:sz w:val="19"/>
          <w:szCs w:val="19"/>
        </w:rPr>
        <w:t>I的进出通道之一，期间累计成交额达94658.26万元。</w:t>
      </w:r>
      <w:proofErr w:type="gramStart"/>
      <w:r w:rsidRPr="00941AD1">
        <w:rPr>
          <w:rFonts w:ascii="宋体" w:eastAsia="宋体" w:hAnsi="宋体" w:cs="宋体" w:hint="eastAsia"/>
          <w:color w:val="000000"/>
          <w:kern w:val="0"/>
          <w:sz w:val="19"/>
          <w:szCs w:val="19"/>
        </w:rPr>
        <w:t>沪通股</w:t>
      </w:r>
      <w:proofErr w:type="gramEnd"/>
      <w:r w:rsidRPr="00941AD1">
        <w:rPr>
          <w:rFonts w:ascii="宋体" w:eastAsia="宋体" w:hAnsi="宋体" w:cs="宋体" w:hint="eastAsia"/>
          <w:color w:val="000000"/>
          <w:kern w:val="0"/>
          <w:sz w:val="19"/>
          <w:szCs w:val="19"/>
        </w:rPr>
        <w:t>方面，贵州茅台在2016年以来登上</w:t>
      </w:r>
      <w:hyperlink r:id="rId45" w:tgtFrame="_blank" w:history="1">
        <w:r w:rsidRPr="00941AD1">
          <w:rPr>
            <w:rFonts w:ascii="宋体" w:eastAsia="宋体" w:hAnsi="宋体" w:cs="宋体" w:hint="eastAsia"/>
            <w:color w:val="043396"/>
            <w:kern w:val="0"/>
            <w:sz w:val="19"/>
            <w:u w:val="single"/>
          </w:rPr>
          <w:t>沪股通</w:t>
        </w:r>
      </w:hyperlink>
      <w:r w:rsidRPr="00941AD1">
        <w:rPr>
          <w:rFonts w:ascii="宋体" w:eastAsia="宋体" w:hAnsi="宋体" w:cs="宋体" w:hint="eastAsia"/>
          <w:color w:val="000000"/>
          <w:kern w:val="0"/>
          <w:sz w:val="19"/>
          <w:szCs w:val="19"/>
        </w:rPr>
        <w:t>的前十</w:t>
      </w:r>
      <w:proofErr w:type="gramStart"/>
      <w:r w:rsidRPr="00941AD1">
        <w:rPr>
          <w:rFonts w:ascii="宋体" w:eastAsia="宋体" w:hAnsi="宋体" w:cs="宋体" w:hint="eastAsia"/>
          <w:color w:val="000000"/>
          <w:kern w:val="0"/>
          <w:sz w:val="19"/>
          <w:szCs w:val="19"/>
        </w:rPr>
        <w:t>大活跃股次数</w:t>
      </w:r>
      <w:proofErr w:type="gramEnd"/>
      <w:r w:rsidRPr="00941AD1">
        <w:rPr>
          <w:rFonts w:ascii="宋体" w:eastAsia="宋体" w:hAnsi="宋体" w:cs="宋体" w:hint="eastAsia"/>
          <w:color w:val="000000"/>
          <w:kern w:val="0"/>
          <w:sz w:val="19"/>
          <w:szCs w:val="19"/>
        </w:rPr>
        <w:t>达268次，期间累计买入金额为267.73亿元，期间累计卖出金额达261.16亿元，期间累计净买入额达6.57亿元。</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机构持仓方面，数据统计显示，重仓贵州茅台的基金数量在2016年三季度末为115只，到了2016年底进一步猛增至184只基金。截至2016年底，仅是持有贵州茅台的主动偏</w:t>
      </w:r>
      <w:hyperlink r:id="rId46" w:tgtFrame="_blank" w:history="1">
        <w:proofErr w:type="gramStart"/>
        <w:r w:rsidRPr="00941AD1">
          <w:rPr>
            <w:rFonts w:ascii="宋体" w:eastAsia="宋体" w:hAnsi="宋体" w:cs="宋体" w:hint="eastAsia"/>
            <w:color w:val="043396"/>
            <w:kern w:val="0"/>
            <w:sz w:val="19"/>
            <w:u w:val="single"/>
          </w:rPr>
          <w:t>股基</w:t>
        </w:r>
        <w:proofErr w:type="gramEnd"/>
      </w:hyperlink>
      <w:r w:rsidRPr="00941AD1">
        <w:rPr>
          <w:rFonts w:ascii="宋体" w:eastAsia="宋体" w:hAnsi="宋体" w:cs="宋体" w:hint="eastAsia"/>
          <w:color w:val="000000"/>
          <w:kern w:val="0"/>
          <w:sz w:val="19"/>
          <w:szCs w:val="19"/>
        </w:rPr>
        <w:t>金合计重仓市值就高达69.11亿元。至此，无论是重仓的基金数量还是持仓市值，贵州茅台荣登公</w:t>
      </w:r>
      <w:proofErr w:type="gramStart"/>
      <w:r w:rsidRPr="00941AD1">
        <w:rPr>
          <w:rFonts w:ascii="宋体" w:eastAsia="宋体" w:hAnsi="宋体" w:cs="宋体" w:hint="eastAsia"/>
          <w:color w:val="000000"/>
          <w:kern w:val="0"/>
          <w:sz w:val="19"/>
          <w:szCs w:val="19"/>
        </w:rPr>
        <w:t>募基金</w:t>
      </w:r>
      <w:proofErr w:type="gramEnd"/>
      <w:r w:rsidRPr="00941AD1">
        <w:rPr>
          <w:rFonts w:ascii="宋体" w:eastAsia="宋体" w:hAnsi="宋体" w:cs="宋体" w:hint="eastAsia"/>
          <w:color w:val="000000"/>
          <w:kern w:val="0"/>
          <w:sz w:val="19"/>
          <w:szCs w:val="19"/>
        </w:rPr>
        <w:t>第一大重仓股宝座。</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lastRenderedPageBreak/>
        <w:t xml:space="preserve">　　值得注意的是，在震荡反弹的市场中却有一场“暗战”悄然打响，即A股第一高价股之争。3月14，沪市新股吉比特创下每股375.18元的上市以来新高，并在盘中一度超越贵州茅台，成为两市第一高价股。不过好景不长，随后快速回落，盘中一度翻绿，尾盘收于365.52元。截至收盘，贵州茅台以微弱的优势将“股王”的称号握在手中。3月15日，吉比特下跌3.08%，股价收于354.26元；当日贵州茅台上涨1.4%，股价收于374.68元。</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据不完全统计，之前</w:t>
      </w:r>
      <w:hyperlink r:id="rId47" w:tgtFrame="_blank" w:history="1">
        <w:r w:rsidRPr="00941AD1">
          <w:rPr>
            <w:rFonts w:ascii="宋体" w:eastAsia="宋体" w:hAnsi="宋体" w:cs="宋体" w:hint="eastAsia"/>
            <w:color w:val="043396"/>
            <w:kern w:val="0"/>
            <w:sz w:val="19"/>
            <w:u w:val="single"/>
          </w:rPr>
          <w:t>中国船舶</w:t>
        </w:r>
      </w:hyperlink>
      <w:r w:rsidRPr="00941AD1">
        <w:rPr>
          <w:rFonts w:ascii="宋体" w:eastAsia="宋体" w:hAnsi="宋体" w:cs="宋体" w:hint="eastAsia"/>
          <w:color w:val="000000"/>
          <w:kern w:val="0"/>
          <w:sz w:val="19"/>
          <w:szCs w:val="19"/>
        </w:rPr>
        <w:t>、</w:t>
      </w:r>
      <w:hyperlink r:id="rId48" w:tgtFrame="_blank" w:history="1">
        <w:proofErr w:type="gramStart"/>
        <w:r w:rsidRPr="00941AD1">
          <w:rPr>
            <w:rFonts w:ascii="宋体" w:eastAsia="宋体" w:hAnsi="宋体" w:cs="宋体" w:hint="eastAsia"/>
            <w:color w:val="043396"/>
            <w:kern w:val="0"/>
            <w:sz w:val="19"/>
            <w:u w:val="single"/>
          </w:rPr>
          <w:t>世纪鼎利</w:t>
        </w:r>
        <w:proofErr w:type="gramEnd"/>
      </w:hyperlink>
      <w:r w:rsidRPr="00941AD1">
        <w:rPr>
          <w:rFonts w:ascii="宋体" w:eastAsia="宋体" w:hAnsi="宋体" w:cs="宋体" w:hint="eastAsia"/>
          <w:color w:val="000000"/>
          <w:kern w:val="0"/>
          <w:sz w:val="19"/>
          <w:szCs w:val="19"/>
        </w:rPr>
        <w:t>、</w:t>
      </w:r>
      <w:hyperlink r:id="rId49" w:tgtFrame="_blank" w:history="1">
        <w:r w:rsidRPr="00941AD1">
          <w:rPr>
            <w:rFonts w:ascii="宋体" w:eastAsia="宋体" w:hAnsi="宋体" w:cs="宋体" w:hint="eastAsia"/>
            <w:color w:val="043396"/>
            <w:kern w:val="0"/>
            <w:sz w:val="19"/>
            <w:u w:val="single"/>
          </w:rPr>
          <w:t>东方园林</w:t>
        </w:r>
      </w:hyperlink>
      <w:r w:rsidRPr="00941AD1">
        <w:rPr>
          <w:rFonts w:ascii="宋体" w:eastAsia="宋体" w:hAnsi="宋体" w:cs="宋体" w:hint="eastAsia"/>
          <w:color w:val="000000"/>
          <w:kern w:val="0"/>
          <w:sz w:val="19"/>
          <w:szCs w:val="19"/>
        </w:rPr>
        <w:t>、</w:t>
      </w:r>
      <w:hyperlink r:id="rId50" w:tgtFrame="_blank" w:history="1">
        <w:proofErr w:type="gramStart"/>
        <w:r w:rsidRPr="00941AD1">
          <w:rPr>
            <w:rFonts w:ascii="宋体" w:eastAsia="宋体" w:hAnsi="宋体" w:cs="宋体" w:hint="eastAsia"/>
            <w:color w:val="043396"/>
            <w:kern w:val="0"/>
            <w:sz w:val="19"/>
            <w:u w:val="single"/>
          </w:rPr>
          <w:t>海普瑞</w:t>
        </w:r>
        <w:proofErr w:type="gramEnd"/>
      </w:hyperlink>
      <w:r w:rsidRPr="00941AD1">
        <w:rPr>
          <w:rFonts w:ascii="宋体" w:eastAsia="宋体" w:hAnsi="宋体" w:cs="宋体" w:hint="eastAsia"/>
          <w:color w:val="000000"/>
          <w:kern w:val="0"/>
          <w:sz w:val="19"/>
          <w:szCs w:val="19"/>
        </w:rPr>
        <w:t>、长春高新、</w:t>
      </w:r>
      <w:hyperlink r:id="rId51" w:tgtFrame="_blank" w:history="1">
        <w:r w:rsidRPr="00941AD1">
          <w:rPr>
            <w:rFonts w:ascii="宋体" w:eastAsia="宋体" w:hAnsi="宋体" w:cs="宋体" w:hint="eastAsia"/>
            <w:color w:val="043396"/>
            <w:kern w:val="0"/>
            <w:sz w:val="19"/>
            <w:u w:val="single"/>
          </w:rPr>
          <w:t>腾信股份</w:t>
        </w:r>
      </w:hyperlink>
      <w:r w:rsidRPr="00941AD1">
        <w:rPr>
          <w:rFonts w:ascii="宋体" w:eastAsia="宋体" w:hAnsi="宋体" w:cs="宋体" w:hint="eastAsia"/>
          <w:color w:val="000000"/>
          <w:kern w:val="0"/>
          <w:sz w:val="19"/>
          <w:szCs w:val="19"/>
        </w:rPr>
        <w:t>、</w:t>
      </w:r>
      <w:hyperlink r:id="rId52" w:tgtFrame="_blank" w:history="1">
        <w:r w:rsidRPr="00941AD1">
          <w:rPr>
            <w:rFonts w:ascii="宋体" w:eastAsia="宋体" w:hAnsi="宋体" w:cs="宋体" w:hint="eastAsia"/>
            <w:color w:val="043396"/>
            <w:kern w:val="0"/>
            <w:sz w:val="19"/>
            <w:u w:val="single"/>
          </w:rPr>
          <w:t>中文在线</w:t>
        </w:r>
      </w:hyperlink>
      <w:r w:rsidRPr="00941AD1">
        <w:rPr>
          <w:rFonts w:ascii="宋体" w:eastAsia="宋体" w:hAnsi="宋体" w:cs="宋体" w:hint="eastAsia"/>
          <w:color w:val="000000"/>
          <w:kern w:val="0"/>
          <w:sz w:val="19"/>
          <w:szCs w:val="19"/>
        </w:rPr>
        <w:t>、</w:t>
      </w:r>
      <w:hyperlink r:id="rId53" w:tgtFrame="_blank" w:history="1">
        <w:r w:rsidRPr="00941AD1">
          <w:rPr>
            <w:rFonts w:ascii="宋体" w:eastAsia="宋体" w:hAnsi="宋体" w:cs="宋体" w:hint="eastAsia"/>
            <w:color w:val="043396"/>
            <w:kern w:val="0"/>
            <w:sz w:val="19"/>
            <w:u w:val="single"/>
          </w:rPr>
          <w:t>创业软件</w:t>
        </w:r>
      </w:hyperlink>
      <w:r w:rsidRPr="00941AD1">
        <w:rPr>
          <w:rFonts w:ascii="宋体" w:eastAsia="宋体" w:hAnsi="宋体" w:cs="宋体" w:hint="eastAsia"/>
          <w:color w:val="000000"/>
          <w:kern w:val="0"/>
          <w:sz w:val="19"/>
          <w:szCs w:val="19"/>
        </w:rPr>
        <w:t>、</w:t>
      </w:r>
      <w:hyperlink r:id="rId54" w:tgtFrame="_blank" w:history="1">
        <w:proofErr w:type="gramStart"/>
        <w:r w:rsidRPr="00941AD1">
          <w:rPr>
            <w:rFonts w:ascii="宋体" w:eastAsia="宋体" w:hAnsi="宋体" w:cs="宋体" w:hint="eastAsia"/>
            <w:color w:val="043396"/>
            <w:kern w:val="0"/>
            <w:sz w:val="19"/>
            <w:u w:val="single"/>
          </w:rPr>
          <w:t>金雷风</w:t>
        </w:r>
        <w:proofErr w:type="gramEnd"/>
        <w:r w:rsidRPr="00941AD1">
          <w:rPr>
            <w:rFonts w:ascii="宋体" w:eastAsia="宋体" w:hAnsi="宋体" w:cs="宋体" w:hint="eastAsia"/>
            <w:color w:val="043396"/>
            <w:kern w:val="0"/>
            <w:sz w:val="19"/>
            <w:u w:val="single"/>
          </w:rPr>
          <w:t>电</w:t>
        </w:r>
      </w:hyperlink>
      <w:r w:rsidRPr="00941AD1">
        <w:rPr>
          <w:rFonts w:ascii="宋体" w:eastAsia="宋体" w:hAnsi="宋体" w:cs="宋体" w:hint="eastAsia"/>
          <w:color w:val="000000"/>
          <w:kern w:val="0"/>
          <w:sz w:val="19"/>
          <w:szCs w:val="19"/>
        </w:rPr>
        <w:t>、</w:t>
      </w:r>
      <w:hyperlink r:id="rId55" w:tgtFrame="_blank" w:history="1">
        <w:r w:rsidRPr="00941AD1">
          <w:rPr>
            <w:rFonts w:ascii="宋体" w:eastAsia="宋体" w:hAnsi="宋体" w:cs="宋体" w:hint="eastAsia"/>
            <w:color w:val="043396"/>
            <w:kern w:val="0"/>
            <w:sz w:val="19"/>
            <w:u w:val="single"/>
          </w:rPr>
          <w:t>全通教育</w:t>
        </w:r>
      </w:hyperlink>
      <w:r w:rsidRPr="00941AD1">
        <w:rPr>
          <w:rFonts w:ascii="宋体" w:eastAsia="宋体" w:hAnsi="宋体" w:cs="宋体" w:hint="eastAsia"/>
          <w:color w:val="000000"/>
          <w:kern w:val="0"/>
          <w:sz w:val="19"/>
          <w:szCs w:val="19"/>
        </w:rPr>
        <w:t>、</w:t>
      </w:r>
      <w:hyperlink r:id="rId56" w:tgtFrame="_blank" w:history="1">
        <w:proofErr w:type="gramStart"/>
        <w:r w:rsidRPr="00941AD1">
          <w:rPr>
            <w:rFonts w:ascii="宋体" w:eastAsia="宋体" w:hAnsi="宋体" w:cs="宋体" w:hint="eastAsia"/>
            <w:color w:val="043396"/>
            <w:kern w:val="0"/>
            <w:sz w:val="19"/>
            <w:u w:val="single"/>
          </w:rPr>
          <w:t>安硕信息</w:t>
        </w:r>
        <w:proofErr w:type="gramEnd"/>
      </w:hyperlink>
      <w:r w:rsidRPr="00941AD1">
        <w:rPr>
          <w:rFonts w:ascii="宋体" w:eastAsia="宋体" w:hAnsi="宋体" w:cs="宋体" w:hint="eastAsia"/>
          <w:color w:val="000000"/>
          <w:kern w:val="0"/>
          <w:sz w:val="19"/>
          <w:szCs w:val="19"/>
        </w:rPr>
        <w:t>、</w:t>
      </w:r>
      <w:hyperlink r:id="rId57" w:tgtFrame="_blank" w:history="1">
        <w:proofErr w:type="gramStart"/>
        <w:r w:rsidRPr="00941AD1">
          <w:rPr>
            <w:rFonts w:ascii="宋体" w:eastAsia="宋体" w:hAnsi="宋体" w:cs="宋体" w:hint="eastAsia"/>
            <w:color w:val="043396"/>
            <w:kern w:val="0"/>
            <w:sz w:val="19"/>
            <w:u w:val="single"/>
          </w:rPr>
          <w:t>中科创达</w:t>
        </w:r>
        <w:proofErr w:type="gramEnd"/>
      </w:hyperlink>
      <w:r w:rsidRPr="00941AD1">
        <w:rPr>
          <w:rFonts w:ascii="宋体" w:eastAsia="宋体" w:hAnsi="宋体" w:cs="宋体" w:hint="eastAsia"/>
          <w:color w:val="000000"/>
          <w:kern w:val="0"/>
          <w:sz w:val="19"/>
          <w:szCs w:val="19"/>
        </w:rPr>
        <w:t>、暴风科技现在更名为</w:t>
      </w:r>
      <w:hyperlink r:id="rId58" w:tgtFrame="_blank" w:history="1">
        <w:r w:rsidRPr="00941AD1">
          <w:rPr>
            <w:rFonts w:ascii="宋体" w:eastAsia="宋体" w:hAnsi="宋体" w:cs="宋体" w:hint="eastAsia"/>
            <w:color w:val="043396"/>
            <w:kern w:val="0"/>
            <w:sz w:val="19"/>
            <w:u w:val="single"/>
          </w:rPr>
          <w:t>暴风集团</w:t>
        </w:r>
      </w:hyperlink>
      <w:r w:rsidRPr="00941AD1">
        <w:rPr>
          <w:rFonts w:ascii="宋体" w:eastAsia="宋体" w:hAnsi="宋体" w:cs="宋体" w:hint="eastAsia"/>
          <w:color w:val="000000"/>
          <w:kern w:val="0"/>
          <w:sz w:val="19"/>
          <w:szCs w:val="19"/>
        </w:rPr>
        <w:t>等个股都有超过贵州茅台股价的时候，随着市场风云突变，多数高价股在大比例送配或市场巨震中股价被腰斩，截至目前，仅长春高新股价仍在百元以上，3月15日收盘价为114.41元，其余的个股股价全部均在百元以下，甚至</w:t>
      </w:r>
      <w:r w:rsidRPr="00941AD1">
        <w:rPr>
          <w:rFonts w:ascii="宋体" w:eastAsia="宋体" w:hAnsi="宋体" w:cs="宋体" w:hint="eastAsia"/>
          <w:color w:val="FFFFFF" w:themeColor="background1"/>
          <w:kern w:val="0"/>
          <w:sz w:val="19"/>
          <w:szCs w:val="19"/>
          <w:shd w:val="clear" w:color="auto" w:fill="C00000"/>
        </w:rPr>
        <w:t>有的个股股价跌至12元附近</w:t>
      </w:r>
      <w:r w:rsidRPr="00941AD1">
        <w:rPr>
          <w:rFonts w:ascii="宋体" w:eastAsia="宋体" w:hAnsi="宋体" w:cs="宋体" w:hint="eastAsia"/>
          <w:color w:val="000000"/>
          <w:kern w:val="0"/>
          <w:sz w:val="19"/>
          <w:szCs w:val="19"/>
        </w:rPr>
        <w:t>。其中，全通教育于2014年1月21日上市，2015年5月13日达到最高股价为467.57元；</w:t>
      </w:r>
      <w:proofErr w:type="gramStart"/>
      <w:r w:rsidRPr="00941AD1">
        <w:rPr>
          <w:rFonts w:ascii="宋体" w:eastAsia="宋体" w:hAnsi="宋体" w:cs="宋体" w:hint="eastAsia"/>
          <w:color w:val="000000"/>
          <w:kern w:val="0"/>
          <w:sz w:val="19"/>
          <w:szCs w:val="19"/>
        </w:rPr>
        <w:t>安硕信息</w:t>
      </w:r>
      <w:proofErr w:type="gramEnd"/>
      <w:r w:rsidRPr="00941AD1">
        <w:rPr>
          <w:rFonts w:ascii="宋体" w:eastAsia="宋体" w:hAnsi="宋体" w:cs="宋体" w:hint="eastAsia"/>
          <w:color w:val="000000"/>
          <w:kern w:val="0"/>
          <w:sz w:val="19"/>
          <w:szCs w:val="19"/>
        </w:rPr>
        <w:t>于2014年1月28日上市，2015年5月13日达到最高股价为474元；暴风集团于2015年3月24日上市，2015年5月21日达到最高股价为327.01元。</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市场普遍认为，贵州</w:t>
      </w:r>
      <w:proofErr w:type="gramStart"/>
      <w:r w:rsidRPr="00941AD1">
        <w:rPr>
          <w:rFonts w:ascii="宋体" w:eastAsia="宋体" w:hAnsi="宋体" w:cs="宋体" w:hint="eastAsia"/>
          <w:color w:val="000000"/>
          <w:kern w:val="0"/>
          <w:sz w:val="19"/>
          <w:szCs w:val="19"/>
        </w:rPr>
        <w:t>茅台虽</w:t>
      </w:r>
      <w:proofErr w:type="gramEnd"/>
      <w:r w:rsidRPr="00941AD1">
        <w:rPr>
          <w:rFonts w:ascii="宋体" w:eastAsia="宋体" w:hAnsi="宋体" w:cs="宋体" w:hint="eastAsia"/>
          <w:color w:val="000000"/>
          <w:kern w:val="0"/>
          <w:sz w:val="19"/>
          <w:szCs w:val="19"/>
        </w:rPr>
        <w:t>几经沉浮，但依旧是资历最老的股王，历史上看，凡是股价超过贵州茅台，就是调整的开始。多年来，股价能长期占据“股王”之位的只有贵州茅台，历史上多数曾超越贵州茅台的股票短期内均会出现不同程度跳水。</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b/>
          <w:bCs/>
          <w:color w:val="000000"/>
          <w:kern w:val="0"/>
          <w:sz w:val="19"/>
        </w:rPr>
        <w:t xml:space="preserve">　　吉比特 三大因素助力股价屡创新高</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昨日吉比特股价宽幅震荡，低开后一度翻红，但随后大幅回落，在5日均线附近止跌回升，最终下跌3.08%，报收354.26元，收盘价仍维持在5日均线之上， 日K线呈现带上下影线的小阴线，尽管昨日股价下跌逾3%，但仍维持第二高价股的宝座。</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对此，有分析人士表示，吉比特作为今年1月4日上市的次新股，流通盘小、</w:t>
      </w:r>
      <w:proofErr w:type="gramStart"/>
      <w:r w:rsidRPr="00941AD1">
        <w:rPr>
          <w:rFonts w:ascii="宋体" w:eastAsia="宋体" w:hAnsi="宋体" w:cs="宋体" w:hint="eastAsia"/>
          <w:color w:val="000000"/>
          <w:kern w:val="0"/>
          <w:sz w:val="19"/>
          <w:szCs w:val="19"/>
        </w:rPr>
        <w:t>上方无抛压盘</w:t>
      </w:r>
      <w:proofErr w:type="gramEnd"/>
      <w:r w:rsidRPr="00941AD1">
        <w:rPr>
          <w:rFonts w:ascii="宋体" w:eastAsia="宋体" w:hAnsi="宋体" w:cs="宋体" w:hint="eastAsia"/>
          <w:color w:val="000000"/>
          <w:kern w:val="0"/>
          <w:sz w:val="19"/>
          <w:szCs w:val="19"/>
        </w:rPr>
        <w:t>、游戏主营业务的高景气度等三大优势均是该股股价屡创新高备受资金追捧的重要因素。</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而在年报密集披露期，公司2016年优异的业绩也成为股价上涨的另一动力。1月19日公告显示，公司预计2016年实现归属于上市公司股东的净利润与上年同期相比，将增加195%到235%(上年同期净利润为17497.77万元)。</w:t>
      </w:r>
      <w:proofErr w:type="gramStart"/>
      <w:r w:rsidRPr="00941AD1">
        <w:rPr>
          <w:rFonts w:ascii="宋体" w:eastAsia="宋体" w:hAnsi="宋体" w:cs="宋体" w:hint="eastAsia"/>
          <w:color w:val="000000"/>
          <w:kern w:val="0"/>
          <w:sz w:val="19"/>
          <w:szCs w:val="19"/>
        </w:rPr>
        <w:t>业绩预增的</w:t>
      </w:r>
      <w:proofErr w:type="gramEnd"/>
      <w:r w:rsidRPr="00941AD1">
        <w:rPr>
          <w:rFonts w:ascii="宋体" w:eastAsia="宋体" w:hAnsi="宋体" w:cs="宋体" w:hint="eastAsia"/>
          <w:color w:val="000000"/>
          <w:kern w:val="0"/>
          <w:sz w:val="19"/>
          <w:szCs w:val="19"/>
        </w:rPr>
        <w:t>主要原因：《问道手游》自2016年4月份上线运营后市场表现良好，用户规模及充值金额增长较快。</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值得一提的是，股权激励等措施将更有利于上市公司维持稳健发展，公司2月13日公告显示，公司发布2017年限制性股票激励计划草案，授予价格为每股141.19元。该计划首次授予的限制性股票三个解锁</w:t>
      </w:r>
      <w:proofErr w:type="gramStart"/>
      <w:r w:rsidRPr="00941AD1">
        <w:rPr>
          <w:rFonts w:ascii="宋体" w:eastAsia="宋体" w:hAnsi="宋体" w:cs="宋体" w:hint="eastAsia"/>
          <w:color w:val="000000"/>
          <w:kern w:val="0"/>
          <w:sz w:val="19"/>
          <w:szCs w:val="19"/>
        </w:rPr>
        <w:t>期业绩</w:t>
      </w:r>
      <w:proofErr w:type="gramEnd"/>
      <w:r w:rsidRPr="00941AD1">
        <w:rPr>
          <w:rFonts w:ascii="宋体" w:eastAsia="宋体" w:hAnsi="宋体" w:cs="宋体" w:hint="eastAsia"/>
          <w:color w:val="000000"/>
          <w:kern w:val="0"/>
          <w:sz w:val="19"/>
          <w:szCs w:val="19"/>
        </w:rPr>
        <w:t>考核目标如下：均以2013年-2015年平均净利润为基数，第一解锁期为2016年-2017年平均净利润增长不低于30%； 第二解锁期为2016年-2018年平均净利润增长不低于40%；第三解锁期为，2016年-2019年平均净利润增长不低于50%。、</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b/>
          <w:bCs/>
          <w:color w:val="000000"/>
          <w:kern w:val="0"/>
          <w:sz w:val="19"/>
        </w:rPr>
        <w:t xml:space="preserve">　　富瀚微 安防监控处理芯片龙头</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lastRenderedPageBreak/>
        <w:t xml:space="preserve">　　2月20日首发上市的次新股富瀚微股价在3月10日打开涨停板后，股价基本处于震荡整理态势，4个交易日累计上涨2.33%，最新收盘价为283.00元，为两市第三高价股。</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公司良好的业绩是市场追捧该股的主要原因之一，公司2014年、2015年和2016年综合毛</w:t>
      </w:r>
      <w:hyperlink r:id="rId59" w:tgtFrame="_blank" w:history="1">
        <w:r w:rsidRPr="00941AD1">
          <w:rPr>
            <w:rFonts w:ascii="宋体" w:eastAsia="宋体" w:hAnsi="宋体" w:cs="宋体" w:hint="eastAsia"/>
            <w:color w:val="043396"/>
            <w:kern w:val="0"/>
            <w:sz w:val="19"/>
            <w:u w:val="single"/>
          </w:rPr>
          <w:t>利率</w:t>
        </w:r>
      </w:hyperlink>
      <w:r w:rsidRPr="00941AD1">
        <w:rPr>
          <w:rFonts w:ascii="宋体" w:eastAsia="宋体" w:hAnsi="宋体" w:cs="宋体" w:hint="eastAsia"/>
          <w:color w:val="000000"/>
          <w:kern w:val="0"/>
          <w:sz w:val="19"/>
          <w:szCs w:val="19"/>
        </w:rPr>
        <w:t>分别为51.57%、55.96%和56.96%，维持在较高水平。而从2016年主要财务指标来看，多项处于行业前列。2016年基本每股收益为3.36元、每股未分配利润为5.81元，净利润率为34.77%；2016年净利润为11184.07万元，同比增长199.37%。</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对于该股，中</w:t>
      </w:r>
      <w:proofErr w:type="gramStart"/>
      <w:r w:rsidRPr="00941AD1">
        <w:rPr>
          <w:rFonts w:ascii="宋体" w:eastAsia="宋体" w:hAnsi="宋体" w:cs="宋体" w:hint="eastAsia"/>
          <w:color w:val="000000"/>
          <w:kern w:val="0"/>
          <w:sz w:val="19"/>
          <w:szCs w:val="19"/>
        </w:rPr>
        <w:t>信建投表示</w:t>
      </w:r>
      <w:proofErr w:type="gramEnd"/>
      <w:r w:rsidRPr="00941AD1">
        <w:rPr>
          <w:rFonts w:ascii="宋体" w:eastAsia="宋体" w:hAnsi="宋体" w:cs="宋体" w:hint="eastAsia"/>
          <w:color w:val="000000"/>
          <w:kern w:val="0"/>
          <w:sz w:val="19"/>
          <w:szCs w:val="19"/>
        </w:rPr>
        <w:t>，公司上市后股价强势表现主要有三因素刺激：1。公司2016年ISP和IPC芯片销售规模迅速提升，二者</w:t>
      </w:r>
      <w:proofErr w:type="gramStart"/>
      <w:r w:rsidRPr="00941AD1">
        <w:rPr>
          <w:rFonts w:ascii="宋体" w:eastAsia="宋体" w:hAnsi="宋体" w:cs="宋体" w:hint="eastAsia"/>
          <w:color w:val="000000"/>
          <w:kern w:val="0"/>
          <w:sz w:val="19"/>
          <w:szCs w:val="19"/>
        </w:rPr>
        <w:t>市占率分别</w:t>
      </w:r>
      <w:proofErr w:type="gramEnd"/>
      <w:r w:rsidRPr="00941AD1">
        <w:rPr>
          <w:rFonts w:ascii="宋体" w:eastAsia="宋体" w:hAnsi="宋体" w:cs="宋体" w:hint="eastAsia"/>
          <w:color w:val="000000"/>
          <w:kern w:val="0"/>
          <w:sz w:val="19"/>
          <w:szCs w:val="19"/>
        </w:rPr>
        <w:t>提升至60%和9%，行业话语</w:t>
      </w:r>
      <w:proofErr w:type="gramStart"/>
      <w:r w:rsidRPr="00941AD1">
        <w:rPr>
          <w:rFonts w:ascii="宋体" w:eastAsia="宋体" w:hAnsi="宋体" w:cs="宋体" w:hint="eastAsia"/>
          <w:color w:val="000000"/>
          <w:kern w:val="0"/>
          <w:sz w:val="19"/>
          <w:szCs w:val="19"/>
        </w:rPr>
        <w:t>权显著</w:t>
      </w:r>
      <w:proofErr w:type="gramEnd"/>
      <w:r w:rsidRPr="00941AD1">
        <w:rPr>
          <w:rFonts w:ascii="宋体" w:eastAsia="宋体" w:hAnsi="宋体" w:cs="宋体" w:hint="eastAsia"/>
          <w:color w:val="000000"/>
          <w:kern w:val="0"/>
          <w:sz w:val="19"/>
          <w:szCs w:val="19"/>
        </w:rPr>
        <w:t>增强；2。随着规模化生产、生产流程的持续优化、新产品的研发，公司毛</w:t>
      </w:r>
      <w:hyperlink r:id="rId60" w:tgtFrame="_blank" w:history="1">
        <w:r w:rsidRPr="00941AD1">
          <w:rPr>
            <w:rFonts w:ascii="宋体" w:eastAsia="宋体" w:hAnsi="宋体" w:cs="宋体" w:hint="eastAsia"/>
            <w:color w:val="043396"/>
            <w:kern w:val="0"/>
            <w:sz w:val="19"/>
            <w:u w:val="single"/>
          </w:rPr>
          <w:t>利率</w:t>
        </w:r>
      </w:hyperlink>
      <w:r w:rsidRPr="00941AD1">
        <w:rPr>
          <w:rFonts w:ascii="宋体" w:eastAsia="宋体" w:hAnsi="宋体" w:cs="宋体" w:hint="eastAsia"/>
          <w:color w:val="000000"/>
          <w:kern w:val="0"/>
          <w:sz w:val="19"/>
          <w:szCs w:val="19"/>
        </w:rPr>
        <w:t>尚有提升空间；3。安防视频监控行业景气度高，保障了上游安防监控处理芯片的增长。公司中长期发展可期，但短期股价处于高位，还需谨慎操作。</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b/>
          <w:bCs/>
          <w:color w:val="000000"/>
          <w:kern w:val="0"/>
          <w:sz w:val="19"/>
        </w:rPr>
        <w:t xml:space="preserve">　　</w:t>
      </w:r>
      <w:proofErr w:type="gramStart"/>
      <w:r w:rsidRPr="00941AD1">
        <w:rPr>
          <w:rFonts w:ascii="宋体" w:eastAsia="宋体" w:hAnsi="宋体" w:cs="宋体" w:hint="eastAsia"/>
          <w:b/>
          <w:bCs/>
          <w:color w:val="000000"/>
          <w:kern w:val="0"/>
          <w:sz w:val="19"/>
        </w:rPr>
        <w:t>兆易创新</w:t>
      </w:r>
      <w:proofErr w:type="gramEnd"/>
      <w:r w:rsidRPr="00941AD1">
        <w:rPr>
          <w:rFonts w:ascii="宋体" w:eastAsia="宋体" w:hAnsi="宋体" w:cs="宋体" w:hint="eastAsia"/>
          <w:b/>
          <w:bCs/>
          <w:color w:val="000000"/>
          <w:kern w:val="0"/>
          <w:sz w:val="19"/>
        </w:rPr>
        <w:t xml:space="preserve"> 上市以来股价暴涨逾6倍</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w:t>
      </w:r>
      <w:proofErr w:type="gramStart"/>
      <w:r w:rsidRPr="00941AD1">
        <w:rPr>
          <w:rFonts w:ascii="宋体" w:eastAsia="宋体" w:hAnsi="宋体" w:cs="宋体" w:hint="eastAsia"/>
          <w:color w:val="000000"/>
          <w:kern w:val="0"/>
          <w:sz w:val="19"/>
          <w:szCs w:val="19"/>
        </w:rPr>
        <w:t>兆易创新</w:t>
      </w:r>
      <w:proofErr w:type="gramEnd"/>
      <w:r w:rsidRPr="00941AD1">
        <w:rPr>
          <w:rFonts w:ascii="宋体" w:eastAsia="宋体" w:hAnsi="宋体" w:cs="宋体" w:hint="eastAsia"/>
          <w:color w:val="000000"/>
          <w:kern w:val="0"/>
          <w:sz w:val="19"/>
          <w:szCs w:val="19"/>
        </w:rPr>
        <w:t>周三涨停，上市以来累计上涨607.35%，近4天均以涨停板报收，最新收盘价为236.89元。对此，分析人士指出，</w:t>
      </w:r>
      <w:proofErr w:type="gramStart"/>
      <w:r w:rsidRPr="00941AD1">
        <w:rPr>
          <w:rFonts w:ascii="宋体" w:eastAsia="宋体" w:hAnsi="宋体" w:cs="宋体" w:hint="eastAsia"/>
          <w:color w:val="000000"/>
          <w:kern w:val="0"/>
          <w:sz w:val="19"/>
          <w:szCs w:val="19"/>
        </w:rPr>
        <w:t>兆易创新</w:t>
      </w:r>
      <w:proofErr w:type="gramEnd"/>
      <w:r w:rsidRPr="00941AD1">
        <w:rPr>
          <w:rFonts w:ascii="宋体" w:eastAsia="宋体" w:hAnsi="宋体" w:cs="宋体" w:hint="eastAsia"/>
          <w:color w:val="000000"/>
          <w:kern w:val="0"/>
          <w:sz w:val="19"/>
          <w:szCs w:val="19"/>
        </w:rPr>
        <w:t>是2016年最挣钱新股，但上市一个月即</w:t>
      </w:r>
      <w:proofErr w:type="gramStart"/>
      <w:r w:rsidRPr="00941AD1">
        <w:rPr>
          <w:rFonts w:ascii="宋体" w:eastAsia="宋体" w:hAnsi="宋体" w:cs="宋体" w:hint="eastAsia"/>
          <w:color w:val="000000"/>
          <w:kern w:val="0"/>
          <w:sz w:val="19"/>
          <w:szCs w:val="19"/>
        </w:rPr>
        <w:t>停牌半</w:t>
      </w:r>
      <w:proofErr w:type="gramEnd"/>
      <w:r w:rsidRPr="00941AD1">
        <w:rPr>
          <w:rFonts w:ascii="宋体" w:eastAsia="宋体" w:hAnsi="宋体" w:cs="宋体" w:hint="eastAsia"/>
          <w:color w:val="000000"/>
          <w:kern w:val="0"/>
          <w:sz w:val="19"/>
          <w:szCs w:val="19"/>
        </w:rPr>
        <w:t>年进行重组，</w:t>
      </w:r>
      <w:proofErr w:type="gramStart"/>
      <w:r w:rsidRPr="00941AD1">
        <w:rPr>
          <w:rFonts w:ascii="宋体" w:eastAsia="宋体" w:hAnsi="宋体" w:cs="宋体" w:hint="eastAsia"/>
          <w:color w:val="000000"/>
          <w:kern w:val="0"/>
          <w:sz w:val="19"/>
          <w:szCs w:val="19"/>
        </w:rPr>
        <w:t>散户打</w:t>
      </w:r>
      <w:proofErr w:type="gramEnd"/>
      <w:r w:rsidRPr="00941AD1">
        <w:rPr>
          <w:rFonts w:ascii="宋体" w:eastAsia="宋体" w:hAnsi="宋体" w:cs="宋体" w:hint="eastAsia"/>
          <w:color w:val="000000"/>
          <w:kern w:val="0"/>
          <w:sz w:val="19"/>
          <w:szCs w:val="19"/>
        </w:rPr>
        <w:t>新近半年未退出，近日成交量未放大，后市值得期待。</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w:t>
      </w:r>
      <w:proofErr w:type="gramStart"/>
      <w:r w:rsidRPr="00941AD1">
        <w:rPr>
          <w:rFonts w:ascii="宋体" w:eastAsia="宋体" w:hAnsi="宋体" w:cs="宋体" w:hint="eastAsia"/>
          <w:color w:val="000000"/>
          <w:kern w:val="0"/>
          <w:sz w:val="19"/>
          <w:szCs w:val="19"/>
        </w:rPr>
        <w:t>兆易创新</w:t>
      </w:r>
      <w:proofErr w:type="gramEnd"/>
      <w:r w:rsidRPr="00941AD1">
        <w:rPr>
          <w:rFonts w:ascii="宋体" w:eastAsia="宋体" w:hAnsi="宋体" w:cs="宋体" w:hint="eastAsia"/>
          <w:color w:val="000000"/>
          <w:kern w:val="0"/>
          <w:sz w:val="19"/>
          <w:szCs w:val="19"/>
        </w:rPr>
        <w:t>3月10日晚间公告显示，据重组修订案，公司拟以158.3元/股发行3002万股，并支付17.5亿元现金，合计作价65亿元收购集成电路产业同行业公司</w:t>
      </w:r>
      <w:proofErr w:type="gramStart"/>
      <w:r w:rsidRPr="00941AD1">
        <w:rPr>
          <w:rFonts w:ascii="宋体" w:eastAsia="宋体" w:hAnsi="宋体" w:cs="宋体" w:hint="eastAsia"/>
          <w:color w:val="000000"/>
          <w:kern w:val="0"/>
          <w:sz w:val="19"/>
          <w:szCs w:val="19"/>
        </w:rPr>
        <w:t>北京矽成</w:t>
      </w:r>
      <w:proofErr w:type="gramEnd"/>
      <w:r w:rsidRPr="00941AD1">
        <w:rPr>
          <w:rFonts w:ascii="宋体" w:eastAsia="宋体" w:hAnsi="宋体" w:cs="宋体" w:hint="eastAsia"/>
          <w:color w:val="000000"/>
          <w:kern w:val="0"/>
          <w:sz w:val="19"/>
          <w:szCs w:val="19"/>
        </w:rPr>
        <w:t>100%股权，进一步丰富存储芯片产品线。同时拟募集不超20.3亿元配套资金。</w:t>
      </w:r>
    </w:p>
    <w:p w:rsidR="00941AD1" w:rsidRPr="00941AD1" w:rsidRDefault="00941AD1" w:rsidP="00941AD1">
      <w:pPr>
        <w:widowControl/>
        <w:spacing w:before="163" w:after="163" w:line="380" w:lineRule="atLeast"/>
        <w:jc w:val="left"/>
        <w:rPr>
          <w:rFonts w:ascii="宋体" w:eastAsia="宋体" w:hAnsi="宋体" w:cs="宋体" w:hint="eastAsia"/>
          <w:color w:val="000000"/>
          <w:kern w:val="0"/>
          <w:sz w:val="19"/>
          <w:szCs w:val="19"/>
        </w:rPr>
      </w:pPr>
      <w:r w:rsidRPr="00941AD1">
        <w:rPr>
          <w:rFonts w:ascii="宋体" w:eastAsia="宋体" w:hAnsi="宋体" w:cs="宋体" w:hint="eastAsia"/>
          <w:color w:val="000000"/>
          <w:kern w:val="0"/>
          <w:sz w:val="19"/>
          <w:szCs w:val="19"/>
        </w:rPr>
        <w:t xml:space="preserve">　　对于该股，近30日内获得10家机构给予“买入或增持”评级。其中，</w:t>
      </w:r>
      <w:hyperlink r:id="rId61" w:tgtFrame="_blank" w:history="1">
        <w:r w:rsidRPr="00941AD1">
          <w:rPr>
            <w:rFonts w:ascii="宋体" w:eastAsia="宋体" w:hAnsi="宋体" w:cs="宋体" w:hint="eastAsia"/>
            <w:color w:val="043396"/>
            <w:kern w:val="0"/>
            <w:sz w:val="19"/>
            <w:u w:val="single"/>
          </w:rPr>
          <w:t>招商证券</w:t>
        </w:r>
      </w:hyperlink>
      <w:r w:rsidRPr="00941AD1">
        <w:rPr>
          <w:rFonts w:ascii="宋体" w:eastAsia="宋体" w:hAnsi="宋体" w:cs="宋体" w:hint="eastAsia"/>
          <w:color w:val="000000"/>
          <w:kern w:val="0"/>
          <w:sz w:val="19"/>
          <w:szCs w:val="19"/>
        </w:rPr>
        <w:t>表示，</w:t>
      </w:r>
      <w:proofErr w:type="gramStart"/>
      <w:r w:rsidRPr="00941AD1">
        <w:rPr>
          <w:rFonts w:ascii="宋体" w:eastAsia="宋体" w:hAnsi="宋体" w:cs="宋体" w:hint="eastAsia"/>
          <w:color w:val="000000"/>
          <w:kern w:val="0"/>
          <w:sz w:val="19"/>
          <w:szCs w:val="19"/>
        </w:rPr>
        <w:t>兆易创新</w:t>
      </w:r>
      <w:proofErr w:type="gramEnd"/>
      <w:r w:rsidRPr="00941AD1">
        <w:rPr>
          <w:rFonts w:ascii="宋体" w:eastAsia="宋体" w:hAnsi="宋体" w:cs="宋体" w:hint="eastAsia"/>
          <w:color w:val="000000"/>
          <w:kern w:val="0"/>
          <w:sz w:val="19"/>
          <w:szCs w:val="19"/>
        </w:rPr>
        <w:t>收购补全存储器版图，涨价提升业绩弹性。预计公司2017年-2019年备考业绩分别为5.89亿元、8.19亿元、10.62亿元，当前股价2017年-2019年对应的市盈率分别为43倍、31倍、24倍，维持“强烈推荐-A”投资评级。</w:t>
      </w:r>
    </w:p>
    <w:p w:rsidR="007A703A" w:rsidRPr="00941AD1" w:rsidRDefault="007A703A"/>
    <w:sectPr w:rsidR="007A703A" w:rsidRPr="00941AD1" w:rsidSect="007A703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41AD1"/>
    <w:rsid w:val="007A703A"/>
    <w:rsid w:val="00941AD1"/>
    <w:rsid w:val="00C533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03A"/>
    <w:pPr>
      <w:widowControl w:val="0"/>
      <w:jc w:val="both"/>
    </w:pPr>
  </w:style>
  <w:style w:type="paragraph" w:styleId="1">
    <w:name w:val="heading 1"/>
    <w:basedOn w:val="a"/>
    <w:link w:val="1Char"/>
    <w:uiPriority w:val="9"/>
    <w:qFormat/>
    <w:rsid w:val="00941AD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1AD1"/>
    <w:rPr>
      <w:rFonts w:ascii="宋体" w:eastAsia="宋体" w:hAnsi="宋体" w:cs="宋体"/>
      <w:b/>
      <w:bCs/>
      <w:kern w:val="36"/>
      <w:sz w:val="48"/>
      <w:szCs w:val="48"/>
    </w:rPr>
  </w:style>
  <w:style w:type="character" w:styleId="a3">
    <w:name w:val="Hyperlink"/>
    <w:basedOn w:val="a0"/>
    <w:uiPriority w:val="99"/>
    <w:semiHidden/>
    <w:unhideWhenUsed/>
    <w:rsid w:val="00941AD1"/>
    <w:rPr>
      <w:color w:val="0000FF"/>
      <w:u w:val="single"/>
    </w:rPr>
  </w:style>
  <w:style w:type="character" w:customStyle="1" w:styleId="cnumshow">
    <w:name w:val="cnumshow"/>
    <w:basedOn w:val="a0"/>
    <w:rsid w:val="00941AD1"/>
  </w:style>
  <w:style w:type="character" w:customStyle="1" w:styleId="num">
    <w:name w:val="num"/>
    <w:basedOn w:val="a0"/>
    <w:rsid w:val="00941AD1"/>
  </w:style>
  <w:style w:type="paragraph" w:customStyle="1" w:styleId="clearp">
    <w:name w:val="clearp"/>
    <w:basedOn w:val="a"/>
    <w:rsid w:val="00941AD1"/>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941AD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41AD1"/>
    <w:rPr>
      <w:b/>
      <w:bCs/>
    </w:rPr>
  </w:style>
  <w:style w:type="paragraph" w:styleId="a6">
    <w:name w:val="Balloon Text"/>
    <w:basedOn w:val="a"/>
    <w:link w:val="Char"/>
    <w:uiPriority w:val="99"/>
    <w:semiHidden/>
    <w:unhideWhenUsed/>
    <w:rsid w:val="00941AD1"/>
    <w:rPr>
      <w:sz w:val="18"/>
      <w:szCs w:val="18"/>
    </w:rPr>
  </w:style>
  <w:style w:type="character" w:customStyle="1" w:styleId="Char">
    <w:name w:val="批注框文本 Char"/>
    <w:basedOn w:val="a0"/>
    <w:link w:val="a6"/>
    <w:uiPriority w:val="99"/>
    <w:semiHidden/>
    <w:rsid w:val="00941AD1"/>
    <w:rPr>
      <w:sz w:val="18"/>
      <w:szCs w:val="18"/>
    </w:rPr>
  </w:style>
</w:styles>
</file>

<file path=word/webSettings.xml><?xml version="1.0" encoding="utf-8"?>
<w:webSettings xmlns:r="http://schemas.openxmlformats.org/officeDocument/2006/relationships" xmlns:w="http://schemas.openxmlformats.org/wordprocessingml/2006/main">
  <w:divs>
    <w:div w:id="1207177694">
      <w:bodyDiv w:val="1"/>
      <w:marLeft w:val="0"/>
      <w:marRight w:val="0"/>
      <w:marTop w:val="0"/>
      <w:marBottom w:val="0"/>
      <w:divBdr>
        <w:top w:val="none" w:sz="0" w:space="0" w:color="auto"/>
        <w:left w:val="none" w:sz="0" w:space="0" w:color="auto"/>
        <w:bottom w:val="none" w:sz="0" w:space="0" w:color="auto"/>
        <w:right w:val="none" w:sz="0" w:space="0" w:color="auto"/>
      </w:divBdr>
      <w:divsChild>
        <w:div w:id="1682658553">
          <w:marLeft w:val="0"/>
          <w:marRight w:val="0"/>
          <w:marTop w:val="0"/>
          <w:marBottom w:val="136"/>
          <w:divBdr>
            <w:top w:val="none" w:sz="0" w:space="0" w:color="auto"/>
            <w:left w:val="none" w:sz="0" w:space="0" w:color="auto"/>
            <w:bottom w:val="none" w:sz="0" w:space="0" w:color="auto"/>
            <w:right w:val="none" w:sz="0" w:space="0" w:color="auto"/>
          </w:divBdr>
          <w:divsChild>
            <w:div w:id="1006136148">
              <w:marLeft w:val="136"/>
              <w:marRight w:val="0"/>
              <w:marTop w:val="0"/>
              <w:marBottom w:val="0"/>
              <w:divBdr>
                <w:top w:val="none" w:sz="0" w:space="0" w:color="auto"/>
                <w:left w:val="none" w:sz="0" w:space="0" w:color="auto"/>
                <w:bottom w:val="none" w:sz="0" w:space="0" w:color="auto"/>
                <w:right w:val="none" w:sz="0" w:space="0" w:color="auto"/>
              </w:divBdr>
              <w:divsChild>
                <w:div w:id="1137721782">
                  <w:marLeft w:val="0"/>
                  <w:marRight w:val="0"/>
                  <w:marTop w:val="0"/>
                  <w:marBottom w:val="0"/>
                  <w:divBdr>
                    <w:top w:val="none" w:sz="0" w:space="0" w:color="auto"/>
                    <w:left w:val="none" w:sz="0" w:space="0" w:color="auto"/>
                    <w:bottom w:val="none" w:sz="0" w:space="0" w:color="auto"/>
                    <w:right w:val="none" w:sz="0" w:space="0" w:color="auto"/>
                  </w:divBdr>
                </w:div>
                <w:div w:id="1808083829">
                  <w:marLeft w:val="136"/>
                  <w:marRight w:val="136"/>
                  <w:marTop w:val="0"/>
                  <w:marBottom w:val="0"/>
                  <w:divBdr>
                    <w:top w:val="none" w:sz="0" w:space="0" w:color="auto"/>
                    <w:left w:val="none" w:sz="0" w:space="0" w:color="auto"/>
                    <w:bottom w:val="none" w:sz="0" w:space="0" w:color="auto"/>
                    <w:right w:val="none" w:sz="0" w:space="0" w:color="auto"/>
                  </w:divBdr>
                </w:div>
              </w:divsChild>
            </w:div>
            <w:div w:id="1246570314">
              <w:marLeft w:val="0"/>
              <w:marRight w:val="0"/>
              <w:marTop w:val="0"/>
              <w:marBottom w:val="0"/>
              <w:divBdr>
                <w:top w:val="none" w:sz="0" w:space="0" w:color="auto"/>
                <w:left w:val="none" w:sz="0" w:space="0" w:color="auto"/>
                <w:bottom w:val="none" w:sz="0" w:space="0" w:color="auto"/>
                <w:right w:val="none" w:sz="0" w:space="0" w:color="auto"/>
              </w:divBdr>
              <w:divsChild>
                <w:div w:id="7015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8199">
          <w:marLeft w:val="0"/>
          <w:marRight w:val="0"/>
          <w:marTop w:val="0"/>
          <w:marBottom w:val="0"/>
          <w:divBdr>
            <w:top w:val="none" w:sz="0" w:space="0" w:color="auto"/>
            <w:left w:val="none" w:sz="0" w:space="0" w:color="auto"/>
            <w:bottom w:val="single" w:sz="6" w:space="0" w:color="E5E5E5"/>
            <w:right w:val="none" w:sz="0" w:space="0" w:color="auto"/>
          </w:divBdr>
          <w:divsChild>
            <w:div w:id="1302077447">
              <w:marLeft w:val="0"/>
              <w:marRight w:val="0"/>
              <w:marTop w:val="0"/>
              <w:marBottom w:val="0"/>
              <w:divBdr>
                <w:top w:val="none" w:sz="0" w:space="0" w:color="auto"/>
                <w:left w:val="none" w:sz="0" w:space="0" w:color="auto"/>
                <w:bottom w:val="none" w:sz="0" w:space="0" w:color="auto"/>
                <w:right w:val="none" w:sz="0" w:space="0" w:color="auto"/>
              </w:divBdr>
              <w:divsChild>
                <w:div w:id="1956062893">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1831867398">
          <w:marLeft w:val="0"/>
          <w:marRight w:val="0"/>
          <w:marTop w:val="136"/>
          <w:marBottom w:val="0"/>
          <w:divBdr>
            <w:top w:val="none" w:sz="0" w:space="0" w:color="auto"/>
            <w:left w:val="none" w:sz="0" w:space="0" w:color="auto"/>
            <w:bottom w:val="none" w:sz="0" w:space="0" w:color="auto"/>
            <w:right w:val="none" w:sz="0" w:space="0" w:color="auto"/>
          </w:divBdr>
          <w:divsChild>
            <w:div w:id="1162769005">
              <w:marLeft w:val="0"/>
              <w:marRight w:val="0"/>
              <w:marTop w:val="0"/>
              <w:marBottom w:val="109"/>
              <w:divBdr>
                <w:top w:val="single" w:sz="6" w:space="5" w:color="AAAAAA"/>
                <w:left w:val="single" w:sz="6" w:space="5" w:color="AAAAAA"/>
                <w:bottom w:val="single" w:sz="6" w:space="5" w:color="AAAAAA"/>
                <w:right w:val="single" w:sz="6" w:space="5" w:color="AAAAAA"/>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quote.eastmoney.com/SZ300617.html" TargetMode="External"/><Relationship Id="rId18" Type="http://schemas.openxmlformats.org/officeDocument/2006/relationships/hyperlink" Target="http://quote.eastmoney.com/SZ300523.html" TargetMode="External"/><Relationship Id="rId26" Type="http://schemas.openxmlformats.org/officeDocument/2006/relationships/hyperlink" Target="http://quote.eastmoney.com/SZ300562.html" TargetMode="External"/><Relationship Id="rId39" Type="http://schemas.openxmlformats.org/officeDocument/2006/relationships/hyperlink" Target="http://quote.eastmoney.com/SZ000963.html" TargetMode="External"/><Relationship Id="rId21" Type="http://schemas.openxmlformats.org/officeDocument/2006/relationships/hyperlink" Target="http://quote.eastmoney.com/SZ300502.html" TargetMode="External"/><Relationship Id="rId34" Type="http://schemas.openxmlformats.org/officeDocument/2006/relationships/hyperlink" Target="http://quote.eastmoney.com/SZ300561.html" TargetMode="External"/><Relationship Id="rId42" Type="http://schemas.openxmlformats.org/officeDocument/2006/relationships/hyperlink" Target="http://quote.eastmoney.com/SH600030.html" TargetMode="External"/><Relationship Id="rId47" Type="http://schemas.openxmlformats.org/officeDocument/2006/relationships/hyperlink" Target="http://quote.eastmoney.com/SH600150.html" TargetMode="External"/><Relationship Id="rId50" Type="http://schemas.openxmlformats.org/officeDocument/2006/relationships/hyperlink" Target="http://quote.eastmoney.com/SZ002399.html" TargetMode="External"/><Relationship Id="rId55" Type="http://schemas.openxmlformats.org/officeDocument/2006/relationships/hyperlink" Target="http://quote.eastmoney.com/SZ300359.html" TargetMode="External"/><Relationship Id="rId63" Type="http://schemas.openxmlformats.org/officeDocument/2006/relationships/theme" Target="theme/theme1.xml"/><Relationship Id="rId7" Type="http://schemas.openxmlformats.org/officeDocument/2006/relationships/hyperlink" Target="http://stock.eastmoney.com/news/1406,20170316720466985.html" TargetMode="External"/><Relationship Id="rId2" Type="http://schemas.openxmlformats.org/officeDocument/2006/relationships/settings" Target="settings.xml"/><Relationship Id="rId16" Type="http://schemas.openxmlformats.org/officeDocument/2006/relationships/hyperlink" Target="http://quote.eastmoney.com/SZ002816.html" TargetMode="External"/><Relationship Id="rId20" Type="http://schemas.openxmlformats.org/officeDocument/2006/relationships/hyperlink" Target="http://quote.eastmoney.com/SZ002801.html" TargetMode="External"/><Relationship Id="rId29" Type="http://schemas.openxmlformats.org/officeDocument/2006/relationships/hyperlink" Target="http://quote.eastmoney.com/SZ300533.html" TargetMode="External"/><Relationship Id="rId41" Type="http://schemas.openxmlformats.org/officeDocument/2006/relationships/hyperlink" Target="http://data.eastmoney.com/dzjy/default.html" TargetMode="External"/><Relationship Id="rId54" Type="http://schemas.openxmlformats.org/officeDocument/2006/relationships/hyperlink" Target="http://quote.eastmoney.com/SZ300443.html"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guba.eastmoney.com/news,cjpl,617692076.html" TargetMode="External"/><Relationship Id="rId11" Type="http://schemas.openxmlformats.org/officeDocument/2006/relationships/hyperlink" Target="http://quote.eastmoney.com/SH603444.html" TargetMode="External"/><Relationship Id="rId24" Type="http://schemas.openxmlformats.org/officeDocument/2006/relationships/hyperlink" Target="http://quote.eastmoney.com/SH603160.html" TargetMode="External"/><Relationship Id="rId32" Type="http://schemas.openxmlformats.org/officeDocument/2006/relationships/hyperlink" Target="http://quote.eastmoney.com/SZ300595.html" TargetMode="External"/><Relationship Id="rId37" Type="http://schemas.openxmlformats.org/officeDocument/2006/relationships/hyperlink" Target="http://quote.eastmoney.com/SZ002281.html" TargetMode="External"/><Relationship Id="rId40" Type="http://schemas.openxmlformats.org/officeDocument/2006/relationships/hyperlink" Target="http://quote.eastmoney.com/SZ002829.html" TargetMode="External"/><Relationship Id="rId45" Type="http://schemas.openxmlformats.org/officeDocument/2006/relationships/hyperlink" Target="http://quote.eastmoney.com/ZS000159.html" TargetMode="External"/><Relationship Id="rId53" Type="http://schemas.openxmlformats.org/officeDocument/2006/relationships/hyperlink" Target="http://quote.eastmoney.com/SZ300451.html" TargetMode="External"/><Relationship Id="rId58" Type="http://schemas.openxmlformats.org/officeDocument/2006/relationships/hyperlink" Target="http://quote.eastmoney.com/SZ300431.html" TargetMode="External"/><Relationship Id="rId5" Type="http://schemas.openxmlformats.org/officeDocument/2006/relationships/hyperlink" Target="http://www.eastmoney.com/" TargetMode="External"/><Relationship Id="rId15" Type="http://schemas.openxmlformats.org/officeDocument/2006/relationships/hyperlink" Target="http://quote.eastmoney.com/SH603986.html" TargetMode="External"/><Relationship Id="rId23" Type="http://schemas.openxmlformats.org/officeDocument/2006/relationships/hyperlink" Target="http://quote.eastmoney.com/ZS000807.html" TargetMode="External"/><Relationship Id="rId28" Type="http://schemas.openxmlformats.org/officeDocument/2006/relationships/hyperlink" Target="http://quote.eastmoney.com/SZ300613.html" TargetMode="External"/><Relationship Id="rId36" Type="http://schemas.openxmlformats.org/officeDocument/2006/relationships/hyperlink" Target="http://quote.eastmoney.com/SZ002304.html" TargetMode="External"/><Relationship Id="rId49" Type="http://schemas.openxmlformats.org/officeDocument/2006/relationships/hyperlink" Target="http://quote.eastmoney.com/SZ002310.html" TargetMode="External"/><Relationship Id="rId57" Type="http://schemas.openxmlformats.org/officeDocument/2006/relationships/hyperlink" Target="http://quote.eastmoney.com/SZ300496.html" TargetMode="External"/><Relationship Id="rId61" Type="http://schemas.openxmlformats.org/officeDocument/2006/relationships/hyperlink" Target="http://quote.eastmoney.com/SH600999.html" TargetMode="External"/><Relationship Id="rId10" Type="http://schemas.openxmlformats.org/officeDocument/2006/relationships/image" Target="media/image2.png"/><Relationship Id="rId19" Type="http://schemas.openxmlformats.org/officeDocument/2006/relationships/hyperlink" Target="http://quote.eastmoney.com/SH603716.html" TargetMode="External"/><Relationship Id="rId31" Type="http://schemas.openxmlformats.org/officeDocument/2006/relationships/hyperlink" Target="http://quote.eastmoney.com/SZ300508.html" TargetMode="External"/><Relationship Id="rId44" Type="http://schemas.openxmlformats.org/officeDocument/2006/relationships/hyperlink" Target="http://quote.eastmoney.com/hk/07326.html" TargetMode="External"/><Relationship Id="rId52" Type="http://schemas.openxmlformats.org/officeDocument/2006/relationships/hyperlink" Target="http://quote.eastmoney.com/SZ300364.html" TargetMode="External"/><Relationship Id="rId60" Type="http://schemas.openxmlformats.org/officeDocument/2006/relationships/hyperlink" Target="http://data.eastmoney.com/cjsj/yhll.html" TargetMode="External"/><Relationship Id="rId4" Type="http://schemas.openxmlformats.org/officeDocument/2006/relationships/image" Target="media/image1.gif"/><Relationship Id="rId9" Type="http://schemas.openxmlformats.org/officeDocument/2006/relationships/hyperlink" Target="http://quote.eastmoney.com/sh600519.html" TargetMode="External"/><Relationship Id="rId14" Type="http://schemas.openxmlformats.org/officeDocument/2006/relationships/hyperlink" Target="http://quote.eastmoney.com/SZ300616.html" TargetMode="External"/><Relationship Id="rId22" Type="http://schemas.openxmlformats.org/officeDocument/2006/relationships/hyperlink" Target="http://quote.eastmoney.com/ZS000808.html" TargetMode="External"/><Relationship Id="rId27" Type="http://schemas.openxmlformats.org/officeDocument/2006/relationships/hyperlink" Target="http://quote.eastmoney.com/SZ002850.html" TargetMode="External"/><Relationship Id="rId30" Type="http://schemas.openxmlformats.org/officeDocument/2006/relationships/hyperlink" Target="http://quote.eastmoney.com/SZ300507.html" TargetMode="External"/><Relationship Id="rId35" Type="http://schemas.openxmlformats.org/officeDocument/2006/relationships/hyperlink" Target="http://quote.eastmoney.com/SZ300577.html" TargetMode="External"/><Relationship Id="rId43" Type="http://schemas.openxmlformats.org/officeDocument/2006/relationships/hyperlink" Target="http://quote.eastmoney.com/hk/03908.html" TargetMode="External"/><Relationship Id="rId48" Type="http://schemas.openxmlformats.org/officeDocument/2006/relationships/hyperlink" Target="http://quote.eastmoney.com/SZ300050.html" TargetMode="External"/><Relationship Id="rId56" Type="http://schemas.openxmlformats.org/officeDocument/2006/relationships/hyperlink" Target="http://quote.eastmoney.com/SZ300380.html" TargetMode="External"/><Relationship Id="rId8" Type="http://schemas.openxmlformats.org/officeDocument/2006/relationships/hyperlink" Target="http://acttg.eastmoney.com/pub/web_app_zwy_zwwzl_01_01_01_1" TargetMode="External"/><Relationship Id="rId51" Type="http://schemas.openxmlformats.org/officeDocument/2006/relationships/hyperlink" Target="http://quote.eastmoney.com/SZ300392.html" TargetMode="External"/><Relationship Id="rId3" Type="http://schemas.openxmlformats.org/officeDocument/2006/relationships/webSettings" Target="webSettings.xml"/><Relationship Id="rId12" Type="http://schemas.openxmlformats.org/officeDocument/2006/relationships/hyperlink" Target="http://quote.eastmoney.com/SH600519.html" TargetMode="External"/><Relationship Id="rId17" Type="http://schemas.openxmlformats.org/officeDocument/2006/relationships/hyperlink" Target="http://quote.eastmoney.com/SZ000661.html" TargetMode="External"/><Relationship Id="rId25" Type="http://schemas.openxmlformats.org/officeDocument/2006/relationships/hyperlink" Target="http://quote.eastmoney.com/SH603579.html" TargetMode="External"/><Relationship Id="rId33" Type="http://schemas.openxmlformats.org/officeDocument/2006/relationships/hyperlink" Target="http://quote.eastmoney.com/SZ300447.html" TargetMode="External"/><Relationship Id="rId38" Type="http://schemas.openxmlformats.org/officeDocument/2006/relationships/hyperlink" Target="http://quote.eastmoney.com/SZ300568.html" TargetMode="External"/><Relationship Id="rId46" Type="http://schemas.openxmlformats.org/officeDocument/2006/relationships/hyperlink" Target="http://fund.eastmoney.com/GP_jzzzl.html" TargetMode="External"/><Relationship Id="rId59" Type="http://schemas.openxmlformats.org/officeDocument/2006/relationships/hyperlink" Target="http://data.eastmoney.com/cjsj/yhl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weiye.yan</dc:creator>
  <cp:lastModifiedBy>weiye.yan</cp:lastModifiedBy>
  <cp:revision>2</cp:revision>
  <dcterms:created xsi:type="dcterms:W3CDTF">2017-03-16T14:29:00Z</dcterms:created>
  <dcterms:modified xsi:type="dcterms:W3CDTF">2017-03-16T14:34:00Z</dcterms:modified>
</cp:coreProperties>
</file>