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7E0" w:rsidRPr="00D977E0" w:rsidRDefault="00D977E0" w:rsidP="00D977E0">
      <w:pPr>
        <w:widowControl/>
        <w:pBdr>
          <w:bottom w:val="single" w:sz="8" w:space="8" w:color="C0D8F2"/>
        </w:pBdr>
        <w:shd w:val="clear" w:color="auto" w:fill="F5F8FD"/>
        <w:spacing w:line="673" w:lineRule="atLeast"/>
        <w:jc w:val="center"/>
        <w:outlineLvl w:val="0"/>
        <w:rPr>
          <w:rFonts w:ascii="黑体" w:eastAsia="黑体" w:hAnsi="黑体" w:cs="宋体"/>
          <w:b/>
          <w:bCs/>
          <w:color w:val="00006B"/>
          <w:spacing w:val="-19"/>
          <w:kern w:val="36"/>
          <w:sz w:val="47"/>
          <w:szCs w:val="47"/>
        </w:rPr>
      </w:pPr>
      <w:r w:rsidRPr="00D977E0">
        <w:rPr>
          <w:rFonts w:ascii="黑体" w:eastAsia="黑体" w:hAnsi="黑体" w:cs="宋体" w:hint="eastAsia"/>
          <w:b/>
          <w:bCs/>
          <w:color w:val="00006B"/>
          <w:spacing w:val="-19"/>
          <w:kern w:val="36"/>
          <w:sz w:val="47"/>
          <w:szCs w:val="47"/>
        </w:rPr>
        <w:t>中央城市工作会议将召开 海绵城市概念股或迎利好</w:t>
      </w:r>
    </w:p>
    <w:p w:rsidR="00D977E0" w:rsidRPr="00D977E0" w:rsidRDefault="00D977E0" w:rsidP="00D977E0">
      <w:pPr>
        <w:widowControl/>
        <w:shd w:val="clear" w:color="auto" w:fill="F5F8FD"/>
        <w:spacing w:line="262" w:lineRule="atLeast"/>
        <w:jc w:val="center"/>
        <w:rPr>
          <w:rFonts w:ascii="宋体" w:eastAsia="宋体" w:hAnsi="宋体" w:cs="宋体" w:hint="eastAsia"/>
          <w:color w:val="000000"/>
          <w:kern w:val="0"/>
          <w:sz w:val="22"/>
        </w:rPr>
      </w:pPr>
      <w:r w:rsidRPr="00D977E0">
        <w:rPr>
          <w:rFonts w:ascii="宋体" w:eastAsia="宋体" w:hAnsi="宋体" w:cs="宋体" w:hint="eastAsia"/>
          <w:color w:val="000000"/>
          <w:kern w:val="0"/>
          <w:sz w:val="22"/>
        </w:rPr>
        <w:t>2015年11月27日 02:20来源：</w:t>
      </w:r>
      <w:r>
        <w:rPr>
          <w:rFonts w:ascii="宋体" w:eastAsia="宋体" w:hAnsi="宋体" w:cs="宋体"/>
          <w:noProof/>
          <w:color w:val="000000"/>
          <w:kern w:val="0"/>
          <w:sz w:val="22"/>
        </w:rPr>
        <w:drawing>
          <wp:inline distT="0" distB="0" distL="0" distR="0">
            <wp:extent cx="570230" cy="118745"/>
            <wp:effectExtent l="19050" t="0" r="1270" b="0"/>
            <wp:docPr id="1" name="图片 1" descr="http://cmsjs.eastmoney.com/DynamicImg/media/4E2D56FD8BC1523862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msjs.eastmoney.com/DynamicImg/media/4E2D56FD8BC1523862A5.gif"/>
                    <pic:cNvPicPr>
                      <a:picLocks noChangeAspect="1" noChangeArrowheads="1"/>
                    </pic:cNvPicPr>
                  </pic:nvPicPr>
                  <pic:blipFill>
                    <a:blip r:embed="rId4"/>
                    <a:srcRect/>
                    <a:stretch>
                      <a:fillRect/>
                    </a:stretch>
                  </pic:blipFill>
                  <pic:spPr bwMode="auto">
                    <a:xfrm>
                      <a:off x="0" y="0"/>
                      <a:ext cx="570230" cy="118745"/>
                    </a:xfrm>
                    <a:prstGeom prst="rect">
                      <a:avLst/>
                    </a:prstGeom>
                    <a:noFill/>
                    <a:ln w="9525">
                      <a:noFill/>
                      <a:miter lim="800000"/>
                      <a:headEnd/>
                      <a:tailEnd/>
                    </a:ln>
                  </pic:spPr>
                </pic:pic>
              </a:graphicData>
            </a:graphic>
          </wp:inline>
        </w:drawing>
      </w:r>
      <w:r w:rsidRPr="00D977E0">
        <w:rPr>
          <w:rFonts w:ascii="宋体" w:eastAsia="宋体" w:hAnsi="宋体" w:cs="宋体" w:hint="eastAsia"/>
          <w:color w:val="000000"/>
          <w:kern w:val="0"/>
          <w:sz w:val="22"/>
        </w:rPr>
        <w:t> 编辑：</w:t>
      </w:r>
      <w:hyperlink r:id="rId5" w:tgtFrame="_blank" w:history="1">
        <w:r w:rsidRPr="00D977E0">
          <w:rPr>
            <w:rFonts w:ascii="宋体" w:eastAsia="宋体" w:hAnsi="宋体" w:cs="宋体" w:hint="eastAsia"/>
            <w:color w:val="00349A"/>
            <w:kern w:val="0"/>
            <w:sz w:val="22"/>
          </w:rPr>
          <w:t>东方</w:t>
        </w:r>
        <w:proofErr w:type="gramStart"/>
        <w:r w:rsidRPr="00D977E0">
          <w:rPr>
            <w:rFonts w:ascii="宋体" w:eastAsia="宋体" w:hAnsi="宋体" w:cs="宋体" w:hint="eastAsia"/>
            <w:color w:val="00349A"/>
            <w:kern w:val="0"/>
            <w:sz w:val="22"/>
          </w:rPr>
          <w:t>财富网</w:t>
        </w:r>
        <w:proofErr w:type="gramEnd"/>
      </w:hyperlink>
    </w:p>
    <w:p w:rsidR="00D977E0" w:rsidRPr="00D977E0" w:rsidRDefault="00D977E0" w:rsidP="00D977E0">
      <w:pPr>
        <w:widowControl/>
        <w:shd w:val="clear" w:color="auto" w:fill="F5F8FD"/>
        <w:spacing w:line="337" w:lineRule="atLeast"/>
        <w:jc w:val="center"/>
        <w:rPr>
          <w:rFonts w:ascii="宋体" w:eastAsia="宋体" w:hAnsi="宋体" w:cs="宋体" w:hint="eastAsia"/>
          <w:color w:val="717171"/>
          <w:kern w:val="0"/>
          <w:sz w:val="22"/>
        </w:rPr>
      </w:pPr>
      <w:r w:rsidRPr="00D977E0">
        <w:rPr>
          <w:rFonts w:ascii="宋体" w:eastAsia="宋体" w:hAnsi="宋体" w:cs="宋体" w:hint="eastAsia"/>
          <w:color w:val="717171"/>
          <w:kern w:val="0"/>
          <w:sz w:val="22"/>
        </w:rPr>
        <w:t>字体：</w:t>
      </w:r>
      <w:hyperlink r:id="rId6" w:tgtFrame="_self" w:history="1">
        <w:r w:rsidRPr="00D977E0">
          <w:rPr>
            <w:rFonts w:ascii="宋体" w:eastAsia="宋体" w:hAnsi="宋体" w:cs="宋体" w:hint="eastAsia"/>
            <w:color w:val="545454"/>
            <w:kern w:val="0"/>
            <w:sz w:val="22"/>
            <w:u w:val="single"/>
          </w:rPr>
          <w:t>大</w:t>
        </w:r>
      </w:hyperlink>
      <w:hyperlink r:id="rId7" w:tgtFrame="_self" w:history="1">
        <w:r w:rsidRPr="00D977E0">
          <w:rPr>
            <w:rFonts w:ascii="宋体" w:eastAsia="宋体" w:hAnsi="宋体" w:cs="宋体" w:hint="eastAsia"/>
            <w:color w:val="545454"/>
            <w:kern w:val="0"/>
            <w:sz w:val="22"/>
            <w:u w:val="single"/>
          </w:rPr>
          <w:t>中</w:t>
        </w:r>
      </w:hyperlink>
      <w:hyperlink r:id="rId8" w:tgtFrame="_self" w:history="1">
        <w:r w:rsidRPr="00D977E0">
          <w:rPr>
            <w:rFonts w:ascii="宋体" w:eastAsia="宋体" w:hAnsi="宋体" w:cs="宋体" w:hint="eastAsia"/>
            <w:color w:val="545454"/>
            <w:kern w:val="0"/>
            <w:sz w:val="22"/>
            <w:u w:val="single"/>
          </w:rPr>
          <w:t>小</w:t>
        </w:r>
      </w:hyperlink>
      <w:r w:rsidRPr="00D977E0">
        <w:rPr>
          <w:rFonts w:ascii="宋体" w:eastAsia="宋体" w:hAnsi="宋体" w:cs="宋体" w:hint="eastAsia"/>
          <w:color w:val="717171"/>
          <w:kern w:val="0"/>
          <w:sz w:val="22"/>
        </w:rPr>
        <w:t>|</w:t>
      </w:r>
      <w:hyperlink r:id="rId9" w:history="1">
        <w:r w:rsidRPr="00D977E0">
          <w:rPr>
            <w:rFonts w:ascii="宋体" w:eastAsia="宋体" w:hAnsi="宋体" w:cs="宋体" w:hint="eastAsia"/>
            <w:color w:val="545454"/>
            <w:kern w:val="0"/>
            <w:sz w:val="22"/>
            <w:u w:val="single"/>
          </w:rPr>
          <w:t>已有</w:t>
        </w:r>
        <w:r w:rsidRPr="00D977E0">
          <w:rPr>
            <w:rFonts w:ascii="宋体" w:eastAsia="宋体" w:hAnsi="宋体" w:cs="宋体" w:hint="eastAsia"/>
            <w:b/>
            <w:bCs/>
            <w:color w:val="FF0000"/>
            <w:kern w:val="0"/>
            <w:sz w:val="22"/>
            <w:u w:val="single"/>
          </w:rPr>
          <w:t>4</w:t>
        </w:r>
        <w:r w:rsidRPr="00D977E0">
          <w:rPr>
            <w:rFonts w:ascii="宋体" w:eastAsia="宋体" w:hAnsi="宋体" w:cs="宋体" w:hint="eastAsia"/>
            <w:color w:val="545454"/>
            <w:kern w:val="0"/>
            <w:sz w:val="22"/>
            <w:u w:val="single"/>
          </w:rPr>
          <w:t>人评论，共</w:t>
        </w:r>
        <w:r w:rsidRPr="00D977E0">
          <w:rPr>
            <w:rFonts w:ascii="宋体" w:eastAsia="宋体" w:hAnsi="宋体" w:cs="宋体" w:hint="eastAsia"/>
            <w:b/>
            <w:bCs/>
            <w:color w:val="FF0000"/>
            <w:kern w:val="0"/>
            <w:sz w:val="22"/>
            <w:u w:val="single"/>
          </w:rPr>
          <w:t>7409</w:t>
        </w:r>
        <w:r w:rsidRPr="00D977E0">
          <w:rPr>
            <w:rFonts w:ascii="宋体" w:eastAsia="宋体" w:hAnsi="宋体" w:cs="宋体" w:hint="eastAsia"/>
            <w:color w:val="545454"/>
            <w:kern w:val="0"/>
            <w:sz w:val="22"/>
            <w:u w:val="single"/>
          </w:rPr>
          <w:t>人参与讨论</w:t>
        </w:r>
      </w:hyperlink>
      <w:r w:rsidRPr="00D977E0">
        <w:rPr>
          <w:rFonts w:ascii="宋体" w:eastAsia="宋体" w:hAnsi="宋体" w:cs="宋体" w:hint="eastAsia"/>
          <w:color w:val="717171"/>
          <w:kern w:val="0"/>
          <w:sz w:val="22"/>
        </w:rPr>
        <w:t>|</w:t>
      </w:r>
      <w:r>
        <w:rPr>
          <w:rFonts w:ascii="宋体" w:eastAsia="宋体" w:hAnsi="宋体" w:cs="宋体"/>
          <w:noProof/>
          <w:color w:val="717171"/>
          <w:kern w:val="0"/>
          <w:sz w:val="22"/>
        </w:rPr>
        <w:drawing>
          <wp:inline distT="0" distB="0" distL="0" distR="0">
            <wp:extent cx="12065" cy="12065"/>
            <wp:effectExtent l="0" t="0" r="0" b="0"/>
            <wp:docPr id="2" name="图片 2" descr="http://cmsjs.eastmoney.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msjs.eastmoney.com/images/spacer.gif"/>
                    <pic:cNvPicPr>
                      <a:picLocks noChangeAspect="1" noChangeArrowheads="1"/>
                    </pic:cNvPicPr>
                  </pic:nvPicPr>
                  <pic:blipFill>
                    <a:blip r:embed="rId10"/>
                    <a:srcRect/>
                    <a:stretch>
                      <a:fillRect/>
                    </a:stretch>
                  </pic:blipFill>
                  <pic:spPr bwMode="auto">
                    <a:xfrm>
                      <a:off x="0" y="0"/>
                      <a:ext cx="12065" cy="12065"/>
                    </a:xfrm>
                    <a:prstGeom prst="rect">
                      <a:avLst/>
                    </a:prstGeom>
                    <a:noFill/>
                    <a:ln w="9525">
                      <a:noFill/>
                      <a:miter lim="800000"/>
                      <a:headEnd/>
                      <a:tailEnd/>
                    </a:ln>
                  </pic:spPr>
                </pic:pic>
              </a:graphicData>
            </a:graphic>
          </wp:inline>
        </w:drawing>
      </w:r>
      <w:hyperlink r:id="rId11" w:tgtFrame="_blank" w:history="1">
        <w:r w:rsidRPr="00D977E0">
          <w:rPr>
            <w:rFonts w:ascii="宋体" w:eastAsia="宋体" w:hAnsi="宋体" w:cs="宋体" w:hint="eastAsia"/>
            <w:color w:val="545454"/>
            <w:kern w:val="0"/>
            <w:sz w:val="22"/>
            <w:u w:val="single"/>
          </w:rPr>
          <w:t>用手机讨论</w:t>
        </w:r>
      </w:hyperlink>
    </w:p>
    <w:p w:rsidR="00D977E0" w:rsidRPr="00D977E0" w:rsidRDefault="00D977E0" w:rsidP="00D977E0">
      <w:pPr>
        <w:widowControl/>
        <w:shd w:val="clear" w:color="auto" w:fill="FFFFFF"/>
        <w:spacing w:line="411" w:lineRule="atLeast"/>
        <w:ind w:firstLine="449"/>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【中央城市工作会议将召开 海绵城市概念股或迎利好】消息称，时隔37年，中央城市工作会议将再次召开，会议的议题或将包括城市规划、住房政策、城市人口规模、城市基础设施建设、城市公用事业运营等。分析人士表示，海绵城市相关上市公司将直接受益城镇化率以及城镇</w:t>
      </w:r>
      <w:proofErr w:type="gramStart"/>
      <w:r w:rsidRPr="00D977E0">
        <w:rPr>
          <w:rFonts w:ascii="宋体" w:eastAsia="宋体" w:hAnsi="宋体" w:cs="宋体" w:hint="eastAsia"/>
          <w:color w:val="000000"/>
          <w:kern w:val="0"/>
          <w:sz w:val="26"/>
          <w:szCs w:val="26"/>
        </w:rPr>
        <w:t>化质量</w:t>
      </w:r>
      <w:proofErr w:type="gramEnd"/>
      <w:r w:rsidRPr="00D977E0">
        <w:rPr>
          <w:rFonts w:ascii="宋体" w:eastAsia="宋体" w:hAnsi="宋体" w:cs="宋体" w:hint="eastAsia"/>
          <w:color w:val="000000"/>
          <w:kern w:val="0"/>
          <w:sz w:val="26"/>
          <w:szCs w:val="26"/>
        </w:rPr>
        <w:t>要求提升，未来相关政策的出台将为相关上市公司带来投资机会。</w:t>
      </w:r>
    </w:p>
    <w:p w:rsidR="00D977E0" w:rsidRPr="00D977E0" w:rsidRDefault="00D977E0" w:rsidP="00D977E0">
      <w:pPr>
        <w:widowControl/>
        <w:shd w:val="clear" w:color="auto" w:fill="F5F8FD"/>
        <w:spacing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消息称，时隔37年，中央城市工作会议将再次召开，会议的议题或将包括城市规划、住房政策、城市人口规模、城市基础设施建设、城市</w:t>
      </w:r>
      <w:hyperlink r:id="rId12" w:tgtFrame="_blank" w:history="1">
        <w:r w:rsidRPr="00D977E0">
          <w:rPr>
            <w:rFonts w:ascii="宋体" w:eastAsia="宋体" w:hAnsi="宋体" w:cs="宋体" w:hint="eastAsia"/>
            <w:color w:val="0000FF"/>
            <w:kern w:val="0"/>
            <w:sz w:val="26"/>
            <w:u w:val="single"/>
          </w:rPr>
          <w:t>公用事业</w:t>
        </w:r>
      </w:hyperlink>
      <w:r w:rsidRPr="00D977E0">
        <w:rPr>
          <w:rFonts w:ascii="宋体" w:eastAsia="宋体" w:hAnsi="宋体" w:cs="宋体" w:hint="eastAsia"/>
          <w:color w:val="000000"/>
          <w:kern w:val="0"/>
          <w:sz w:val="26"/>
          <w:szCs w:val="26"/>
        </w:rPr>
        <w:t>运营等。分析人士表示，海绵城市相关上市公司将直接受益城镇化率以及城镇</w:t>
      </w:r>
      <w:proofErr w:type="gramStart"/>
      <w:r w:rsidRPr="00D977E0">
        <w:rPr>
          <w:rFonts w:ascii="宋体" w:eastAsia="宋体" w:hAnsi="宋体" w:cs="宋体" w:hint="eastAsia"/>
          <w:color w:val="000000"/>
          <w:kern w:val="0"/>
          <w:sz w:val="26"/>
          <w:szCs w:val="26"/>
        </w:rPr>
        <w:t>化质量</w:t>
      </w:r>
      <w:proofErr w:type="gramEnd"/>
      <w:r w:rsidRPr="00D977E0">
        <w:rPr>
          <w:rFonts w:ascii="宋体" w:eastAsia="宋体" w:hAnsi="宋体" w:cs="宋体" w:hint="eastAsia"/>
          <w:color w:val="000000"/>
          <w:kern w:val="0"/>
          <w:sz w:val="26"/>
          <w:szCs w:val="26"/>
        </w:rPr>
        <w:t>要求提升，未来相关政策的出台将为相关上市公司带来投资机会。</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w:t>
      </w:r>
      <w:r w:rsidRPr="00D977E0">
        <w:rPr>
          <w:rFonts w:ascii="宋体" w:eastAsia="宋体" w:hAnsi="宋体" w:cs="宋体" w:hint="eastAsia"/>
          <w:b/>
          <w:bCs/>
          <w:color w:val="000000"/>
          <w:kern w:val="0"/>
          <w:sz w:val="26"/>
        </w:rPr>
        <w:t>中央城市工作会议将召开海绵城市建设受关注</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近日有媒体引述权威人士消息称，时隔37年，全国城市工作会议即将召开，会议的议题或将包括城市规划、住房政策、城市人口规模、城市基础设施建设、城市公用事业运营等方面。</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据悉，上一次“全国城市工作会议”召开是在1978年，在这次会议后，中共中央下发了《关于加强城市建设工作的意见》，基本厘定了此后</w:t>
      </w:r>
      <w:r w:rsidRPr="00D977E0">
        <w:rPr>
          <w:rFonts w:ascii="宋体" w:eastAsia="宋体" w:hAnsi="宋体" w:cs="宋体" w:hint="eastAsia"/>
          <w:color w:val="000000"/>
          <w:kern w:val="0"/>
          <w:sz w:val="26"/>
          <w:szCs w:val="26"/>
        </w:rPr>
        <w:lastRenderedPageBreak/>
        <w:t>约30年时间中城市建设和发展工作的基本思路。此后37年的时间中再未有“全国城市工作会议”召开</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37年后， 我国城镇化率已经超过50%，去年这一数据为54.77%，进入城市化加速期。但是，随着一些城市交通拥堵、人口膨胀、房价急升、城市污染等问题日益严重，“城市病”现象困扰着城市的发展。</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随着城市化进程加快，很多地方政府热衷于开发新城新区，试图疏解老城区人口、产业、功能等，缓解城市发展中的矛盾。在新的形势下，中国城市发展进入一个转折节点，如何既加快城市化进程，又提高城市发展质量，成为困扰很多城市的矛盾问题。</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有分析指出，今年以来我国经济形势十分严峻复杂，经济下行压力还在加大，</w:t>
      </w:r>
      <w:proofErr w:type="gramStart"/>
      <w:r w:rsidRPr="00D977E0">
        <w:rPr>
          <w:rFonts w:ascii="宋体" w:eastAsia="宋体" w:hAnsi="宋体" w:cs="宋体" w:hint="eastAsia"/>
          <w:color w:val="000000"/>
          <w:kern w:val="0"/>
          <w:sz w:val="26"/>
          <w:szCs w:val="26"/>
        </w:rPr>
        <w:t>稳增长</w:t>
      </w:r>
      <w:proofErr w:type="gramEnd"/>
      <w:r w:rsidRPr="00D977E0">
        <w:rPr>
          <w:rFonts w:ascii="宋体" w:eastAsia="宋体" w:hAnsi="宋体" w:cs="宋体" w:hint="eastAsia"/>
          <w:color w:val="000000"/>
          <w:kern w:val="0"/>
          <w:sz w:val="26"/>
          <w:szCs w:val="26"/>
        </w:rPr>
        <w:t>要在扩大内需上挖潜力，要向强化创新要活力、向深化改革要红利，新型城镇化作为消费需求的“倍增器”，也是投资需求的“加速器”，有望成为中央城市工作会议的核心内容。</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作为新型城镇</w:t>
      </w:r>
      <w:proofErr w:type="gramStart"/>
      <w:r w:rsidRPr="00D977E0">
        <w:rPr>
          <w:rFonts w:ascii="宋体" w:eastAsia="宋体" w:hAnsi="宋体" w:cs="宋体" w:hint="eastAsia"/>
          <w:color w:val="000000"/>
          <w:kern w:val="0"/>
          <w:sz w:val="26"/>
          <w:szCs w:val="26"/>
        </w:rPr>
        <w:t>化重要</w:t>
      </w:r>
      <w:proofErr w:type="gramEnd"/>
      <w:r w:rsidRPr="00D977E0">
        <w:rPr>
          <w:rFonts w:ascii="宋体" w:eastAsia="宋体" w:hAnsi="宋体" w:cs="宋体" w:hint="eastAsia"/>
          <w:color w:val="000000"/>
          <w:kern w:val="0"/>
          <w:sz w:val="26"/>
          <w:szCs w:val="26"/>
        </w:rPr>
        <w:t>内容，海绵城市建设备受关注。下半年以来，海绵城市一直受到管理层的极大重视，其中，今年9月29日国务院常务会议上便提出要求大力建设海绵城市，提高城镇化质量。而在10月16日，国务院办公厅发布了《关于推进海绵城市建设的指导意见》，部署推进海绵城市建设工作，为海绵城市建设指引了方向。</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根据去年底发布的《关于开展中央财政支持海绵城市建设试点工作的通知》，国家决定开展中央财政支持海绵城市建设试点工作，中央财政对</w:t>
      </w:r>
      <w:r w:rsidRPr="00D977E0">
        <w:rPr>
          <w:rFonts w:ascii="宋体" w:eastAsia="宋体" w:hAnsi="宋体" w:cs="宋体" w:hint="eastAsia"/>
          <w:color w:val="000000"/>
          <w:kern w:val="0"/>
          <w:sz w:val="26"/>
          <w:szCs w:val="26"/>
        </w:rPr>
        <w:lastRenderedPageBreak/>
        <w:t>海绵城市建设试点给予专项资金补助，时间为三年，直辖市每年6亿元，省会城市每年5亿元，其他城市每年4亿元，对采用PPP模式达到一定比例的，将按上述补助基数奖励10%。</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w:t>
      </w:r>
      <w:r w:rsidRPr="00D977E0">
        <w:rPr>
          <w:rFonts w:ascii="宋体" w:eastAsia="宋体" w:hAnsi="宋体" w:cs="宋体" w:hint="eastAsia"/>
          <w:b/>
          <w:bCs/>
          <w:color w:val="000000"/>
          <w:kern w:val="0"/>
          <w:sz w:val="26"/>
        </w:rPr>
        <w:t>万亿盛宴一触即发</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作为“绿色中国”的重要载体以及“十三五”规划期间加强城市规划建设管理的重要目标，海绵城市在未来拥有巨大的投资空间。业内人士指出，按照首批试点城市未来三年海绵城市建设总投资额超过300亿元，其中需要采用PPP模式的投资额超过100亿元。按照每个城市平均20亿左右的投资规模来看，有望催生出数千亿蓝海。</w:t>
      </w:r>
    </w:p>
    <w:p w:rsidR="00D977E0" w:rsidRPr="00D977E0" w:rsidRDefault="00D977E0" w:rsidP="00D977E0">
      <w:pPr>
        <w:widowControl/>
        <w:shd w:val="clear" w:color="auto" w:fill="F5F8FD"/>
        <w:spacing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w:t>
      </w:r>
      <w:hyperlink r:id="rId13" w:tgtFrame="_blank" w:history="1">
        <w:r w:rsidRPr="00D977E0">
          <w:rPr>
            <w:rFonts w:ascii="宋体" w:eastAsia="宋体" w:hAnsi="宋体" w:cs="宋体" w:hint="eastAsia"/>
            <w:color w:val="0000FF"/>
            <w:kern w:val="0"/>
            <w:sz w:val="26"/>
            <w:u w:val="single"/>
          </w:rPr>
          <w:t>国金证券</w:t>
        </w:r>
      </w:hyperlink>
      <w:r w:rsidRPr="00D977E0">
        <w:rPr>
          <w:rFonts w:ascii="宋体" w:eastAsia="宋体" w:hAnsi="宋体" w:cs="宋体" w:hint="eastAsia"/>
          <w:color w:val="000000"/>
          <w:kern w:val="0"/>
          <w:sz w:val="26"/>
          <w:szCs w:val="26"/>
        </w:rPr>
        <w:t>预计海绵城市每平方公里的改造成本将在1.2亿元至1.8亿元，按照国务院2020年完成20%城市建成区的改造预测及2014年城镇建成面积来推算，改造投入空间在1.2</w:t>
      </w:r>
      <w:proofErr w:type="gramStart"/>
      <w:r w:rsidRPr="00D977E0">
        <w:rPr>
          <w:rFonts w:ascii="宋体" w:eastAsia="宋体" w:hAnsi="宋体" w:cs="宋体" w:hint="eastAsia"/>
          <w:color w:val="000000"/>
          <w:kern w:val="0"/>
          <w:sz w:val="26"/>
          <w:szCs w:val="26"/>
        </w:rPr>
        <w:t>万亿</w:t>
      </w:r>
      <w:proofErr w:type="gramEnd"/>
      <w:r w:rsidRPr="00D977E0">
        <w:rPr>
          <w:rFonts w:ascii="宋体" w:eastAsia="宋体" w:hAnsi="宋体" w:cs="宋体" w:hint="eastAsia"/>
          <w:color w:val="000000"/>
          <w:kern w:val="0"/>
          <w:sz w:val="26"/>
          <w:szCs w:val="26"/>
        </w:rPr>
        <w:t>元至1.8</w:t>
      </w:r>
      <w:proofErr w:type="gramStart"/>
      <w:r w:rsidRPr="00D977E0">
        <w:rPr>
          <w:rFonts w:ascii="宋体" w:eastAsia="宋体" w:hAnsi="宋体" w:cs="宋体" w:hint="eastAsia"/>
          <w:color w:val="000000"/>
          <w:kern w:val="0"/>
          <w:sz w:val="26"/>
          <w:szCs w:val="26"/>
        </w:rPr>
        <w:t>万亿</w:t>
      </w:r>
      <w:proofErr w:type="gramEnd"/>
      <w:r w:rsidRPr="00D977E0">
        <w:rPr>
          <w:rFonts w:ascii="宋体" w:eastAsia="宋体" w:hAnsi="宋体" w:cs="宋体" w:hint="eastAsia"/>
          <w:color w:val="000000"/>
          <w:kern w:val="0"/>
          <w:sz w:val="26"/>
          <w:szCs w:val="26"/>
        </w:rPr>
        <w:t>元。而中国城市规划设计研究院资源能源所副所长王家卓表示，按照国家海绵城市的建设规划，“十三五”期间年均投资规模将达到4000亿元以上。</w:t>
      </w:r>
    </w:p>
    <w:p w:rsidR="00D977E0" w:rsidRPr="00D977E0" w:rsidRDefault="00D977E0" w:rsidP="00D977E0">
      <w:pPr>
        <w:widowControl/>
        <w:shd w:val="clear" w:color="auto" w:fill="F5F8FD"/>
        <w:spacing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安信证券分析师邵琳琳表示，近年来，中国经常发生逢雨看海的事情，打造海绵城市的需求迫在眉睫。经过测算，如果每平方公里投资约为1.9 亿元，按照国家规划，2020年将达到万亿投资规模，空间巨大。</w:t>
      </w:r>
      <w:hyperlink r:id="rId14" w:tgtFrame="_blank" w:history="1">
        <w:r w:rsidRPr="00D977E0">
          <w:rPr>
            <w:rFonts w:ascii="宋体" w:eastAsia="宋体" w:hAnsi="宋体" w:cs="宋体" w:hint="eastAsia"/>
            <w:color w:val="0000FF"/>
            <w:kern w:val="0"/>
            <w:sz w:val="26"/>
            <w:u w:val="single"/>
          </w:rPr>
          <w:t>华泰证券</w:t>
        </w:r>
      </w:hyperlink>
      <w:r w:rsidRPr="00D977E0">
        <w:rPr>
          <w:rFonts w:ascii="宋体" w:eastAsia="宋体" w:hAnsi="宋体" w:cs="宋体" w:hint="eastAsia"/>
          <w:color w:val="000000"/>
          <w:kern w:val="0"/>
          <w:sz w:val="26"/>
          <w:szCs w:val="26"/>
        </w:rPr>
        <w:t>分析</w:t>
      </w:r>
      <w:proofErr w:type="gramStart"/>
      <w:r w:rsidRPr="00D977E0">
        <w:rPr>
          <w:rFonts w:ascii="宋体" w:eastAsia="宋体" w:hAnsi="宋体" w:cs="宋体" w:hint="eastAsia"/>
          <w:color w:val="000000"/>
          <w:kern w:val="0"/>
          <w:sz w:val="26"/>
          <w:szCs w:val="26"/>
        </w:rPr>
        <w:t>师弓永</w:t>
      </w:r>
      <w:proofErr w:type="gramEnd"/>
      <w:r w:rsidRPr="00D977E0">
        <w:rPr>
          <w:rFonts w:ascii="宋体" w:eastAsia="宋体" w:hAnsi="宋体" w:cs="宋体" w:hint="eastAsia"/>
          <w:color w:val="000000"/>
          <w:kern w:val="0"/>
          <w:sz w:val="26"/>
          <w:szCs w:val="26"/>
        </w:rPr>
        <w:t>峰指出，我国有300多个地级行政区，按每个城市按60亿元估算，未来3-5年海绵城市的投资规模在2</w:t>
      </w:r>
      <w:proofErr w:type="gramStart"/>
      <w:r w:rsidRPr="00D977E0">
        <w:rPr>
          <w:rFonts w:ascii="宋体" w:eastAsia="宋体" w:hAnsi="宋体" w:cs="宋体" w:hint="eastAsia"/>
          <w:color w:val="000000"/>
          <w:kern w:val="0"/>
          <w:sz w:val="26"/>
          <w:szCs w:val="26"/>
        </w:rPr>
        <w:t>万亿</w:t>
      </w:r>
      <w:proofErr w:type="gramEnd"/>
      <w:r w:rsidRPr="00D977E0">
        <w:rPr>
          <w:rFonts w:ascii="宋体" w:eastAsia="宋体" w:hAnsi="宋体" w:cs="宋体" w:hint="eastAsia"/>
          <w:color w:val="000000"/>
          <w:kern w:val="0"/>
          <w:sz w:val="26"/>
          <w:szCs w:val="26"/>
        </w:rPr>
        <w:t>元左右。</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lastRenderedPageBreak/>
        <w:t xml:space="preserve">　　据了解，海绵城市是指具有良好吸水、蓄水、净水、</w:t>
      </w:r>
      <w:proofErr w:type="gramStart"/>
      <w:r w:rsidRPr="00D977E0">
        <w:rPr>
          <w:rFonts w:ascii="宋体" w:eastAsia="宋体" w:hAnsi="宋体" w:cs="宋体" w:hint="eastAsia"/>
          <w:color w:val="000000"/>
          <w:kern w:val="0"/>
          <w:sz w:val="26"/>
          <w:szCs w:val="26"/>
        </w:rPr>
        <w:t>释水功能</w:t>
      </w:r>
      <w:proofErr w:type="gramEnd"/>
      <w:r w:rsidRPr="00D977E0">
        <w:rPr>
          <w:rFonts w:ascii="宋体" w:eastAsia="宋体" w:hAnsi="宋体" w:cs="宋体" w:hint="eastAsia"/>
          <w:color w:val="000000"/>
          <w:kern w:val="0"/>
          <w:sz w:val="26"/>
          <w:szCs w:val="26"/>
        </w:rPr>
        <w:t>的城市体，指城市能够像海绵一样，在适应环境变化和应对自然灾害等方面具有良好的“弹性”。海绵城市建设涉及包括生态修复、园林绿化、绿色建材、管网建设与运营、智慧城市与物联网技术、污水污泥处理等多个行业。</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清华大学土木水利学院副院长王忠静称，2013年他的团队调查了全国200个城市，其中只有很少一部分城市的政府了解海绵城市的概念，而在近期清华大学建筑学院举办的市长培训班上，很多地方政府都对海绵城市有了比较全面的了解，而且建设的热情很高。</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分析人士指出，国务院部署加快海绵城市建设，有效推进新型城镇化，与此前拉开序幕的全国城市地下综合管廊建设相辅相成，这对于拉动经济发展具有不可估量的重要作用，海绵城市相关上市公司将直接受益，未来相关政策的出台，将为相关上市公司带来投资机会。</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w:t>
      </w:r>
      <w:r w:rsidRPr="00D977E0">
        <w:rPr>
          <w:rFonts w:ascii="宋体" w:eastAsia="宋体" w:hAnsi="宋体" w:cs="宋体" w:hint="eastAsia"/>
          <w:b/>
          <w:bCs/>
          <w:color w:val="000000"/>
          <w:kern w:val="0"/>
          <w:sz w:val="26"/>
        </w:rPr>
        <w:t>两方面布局</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海绵城市概念自2013首次提出，到2014 年《海绵城市建设试行指南》标准出台，到今年4月财政部评选出首批试点城市，再到前不久国务院印发《关于推进海绵城市建设的指导意见》，政策频出，体现政府推进海绵城市建设决心。</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海绵城市关系着绿色中国建设以及城镇化发展的质量，因此也涉及诸多方面。目前来看，仅有A股上市公司涉及的领域便有市政地下管网工程、</w:t>
      </w:r>
      <w:r w:rsidRPr="00D977E0">
        <w:rPr>
          <w:rFonts w:ascii="宋体" w:eastAsia="宋体" w:hAnsi="宋体" w:cs="宋体" w:hint="eastAsia"/>
          <w:color w:val="000000"/>
          <w:kern w:val="0"/>
          <w:sz w:val="26"/>
          <w:szCs w:val="26"/>
        </w:rPr>
        <w:lastRenderedPageBreak/>
        <w:t>水务、污水处理、园林规划以及相关建材等等，因此，哪些概念股值得重点关注呢？</w:t>
      </w:r>
    </w:p>
    <w:p w:rsidR="00D977E0" w:rsidRPr="00D977E0" w:rsidRDefault="00D977E0" w:rsidP="00D977E0">
      <w:pPr>
        <w:widowControl/>
        <w:shd w:val="clear" w:color="auto" w:fill="F5F8FD"/>
        <w:spacing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国金证券建议，选择具有独特切入点，可以承接回款较快的子领域业务的企业。该券商推荐：已建立城市水环境综合治理体系和河道稳定生态系统的</w:t>
      </w:r>
      <w:hyperlink r:id="rId15" w:tgtFrame="_blank" w:history="1">
        <w:r w:rsidRPr="00D977E0">
          <w:rPr>
            <w:rFonts w:ascii="宋体" w:eastAsia="宋体" w:hAnsi="宋体" w:cs="宋体" w:hint="eastAsia"/>
            <w:color w:val="0000FF"/>
            <w:kern w:val="0"/>
            <w:sz w:val="26"/>
            <w:u w:val="single"/>
          </w:rPr>
          <w:t>聚光科技</w:t>
        </w:r>
      </w:hyperlink>
      <w:r w:rsidRPr="00D977E0">
        <w:rPr>
          <w:rFonts w:ascii="宋体" w:eastAsia="宋体" w:hAnsi="宋体" w:cs="宋体" w:hint="eastAsia"/>
          <w:color w:val="000000"/>
          <w:kern w:val="0"/>
          <w:sz w:val="26"/>
        </w:rPr>
        <w:t> </w:t>
      </w:r>
      <w:r w:rsidRPr="00D977E0">
        <w:rPr>
          <w:rFonts w:ascii="宋体" w:eastAsia="宋体" w:hAnsi="宋体" w:cs="宋体" w:hint="eastAsia"/>
          <w:color w:val="000000"/>
          <w:kern w:val="0"/>
          <w:sz w:val="26"/>
          <w:szCs w:val="26"/>
        </w:rPr>
        <w:t>，其作为业内可以跨越环境监测和水务板块的公司，业绩成长空间十分可观、定增募资48亿元投向海绵城市PPT项目的*</w:t>
      </w:r>
      <w:hyperlink r:id="rId16" w:tgtFrame="_blank" w:history="1">
        <w:r w:rsidRPr="00D977E0">
          <w:rPr>
            <w:rFonts w:ascii="宋体" w:eastAsia="宋体" w:hAnsi="宋体" w:cs="宋体" w:hint="eastAsia"/>
            <w:color w:val="0000FF"/>
            <w:kern w:val="0"/>
            <w:sz w:val="26"/>
            <w:u w:val="single"/>
          </w:rPr>
          <w:t>ST</w:t>
        </w:r>
        <w:proofErr w:type="gramStart"/>
        <w:r w:rsidRPr="00D977E0">
          <w:rPr>
            <w:rFonts w:ascii="宋体" w:eastAsia="宋体" w:hAnsi="宋体" w:cs="宋体" w:hint="eastAsia"/>
            <w:color w:val="0000FF"/>
            <w:kern w:val="0"/>
            <w:sz w:val="26"/>
            <w:u w:val="single"/>
          </w:rPr>
          <w:t>华赛</w:t>
        </w:r>
        <w:proofErr w:type="gramEnd"/>
      </w:hyperlink>
      <w:r w:rsidRPr="00D977E0">
        <w:rPr>
          <w:rFonts w:ascii="宋体" w:eastAsia="宋体" w:hAnsi="宋体" w:cs="宋体" w:hint="eastAsia"/>
          <w:color w:val="000000"/>
          <w:kern w:val="0"/>
          <w:sz w:val="26"/>
          <w:szCs w:val="26"/>
        </w:rPr>
        <w:t>、布局水处理领域的园林绿化龙头</w:t>
      </w:r>
      <w:hyperlink r:id="rId17" w:tgtFrame="_blank" w:history="1">
        <w:r w:rsidRPr="00D977E0">
          <w:rPr>
            <w:rFonts w:ascii="宋体" w:eastAsia="宋体" w:hAnsi="宋体" w:cs="宋体" w:hint="eastAsia"/>
            <w:color w:val="0000FF"/>
            <w:kern w:val="0"/>
            <w:sz w:val="26"/>
            <w:u w:val="single"/>
          </w:rPr>
          <w:t>东方园林</w:t>
        </w:r>
      </w:hyperlink>
      <w:r w:rsidRPr="00D977E0">
        <w:rPr>
          <w:rFonts w:ascii="宋体" w:eastAsia="宋体" w:hAnsi="宋体" w:cs="宋体" w:hint="eastAsia"/>
          <w:color w:val="000000"/>
          <w:kern w:val="0"/>
          <w:sz w:val="26"/>
          <w:szCs w:val="26"/>
        </w:rPr>
        <w:t>以及水污染治理整体解决方案提供商</w:t>
      </w:r>
      <w:hyperlink r:id="rId18" w:tgtFrame="_blank" w:history="1">
        <w:r w:rsidRPr="00D977E0">
          <w:rPr>
            <w:rFonts w:ascii="宋体" w:eastAsia="宋体" w:hAnsi="宋体" w:cs="宋体" w:hint="eastAsia"/>
            <w:color w:val="0000FF"/>
            <w:kern w:val="0"/>
            <w:sz w:val="26"/>
            <w:u w:val="single"/>
          </w:rPr>
          <w:t>博</w:t>
        </w:r>
        <w:proofErr w:type="gramStart"/>
        <w:r w:rsidRPr="00D977E0">
          <w:rPr>
            <w:rFonts w:ascii="宋体" w:eastAsia="宋体" w:hAnsi="宋体" w:cs="宋体" w:hint="eastAsia"/>
            <w:color w:val="0000FF"/>
            <w:kern w:val="0"/>
            <w:sz w:val="26"/>
            <w:u w:val="single"/>
          </w:rPr>
          <w:t>世</w:t>
        </w:r>
        <w:proofErr w:type="gramEnd"/>
        <w:r w:rsidRPr="00D977E0">
          <w:rPr>
            <w:rFonts w:ascii="宋体" w:eastAsia="宋体" w:hAnsi="宋体" w:cs="宋体" w:hint="eastAsia"/>
            <w:color w:val="0000FF"/>
            <w:kern w:val="0"/>
            <w:sz w:val="26"/>
            <w:u w:val="single"/>
          </w:rPr>
          <w:t>科</w:t>
        </w:r>
      </w:hyperlink>
      <w:r w:rsidRPr="00D977E0">
        <w:rPr>
          <w:rFonts w:ascii="宋体" w:eastAsia="宋体" w:hAnsi="宋体" w:cs="宋体" w:hint="eastAsia"/>
          <w:color w:val="000000"/>
          <w:kern w:val="0"/>
          <w:sz w:val="26"/>
        </w:rPr>
        <w:t> </w:t>
      </w:r>
      <w:r w:rsidRPr="00D977E0">
        <w:rPr>
          <w:rFonts w:ascii="宋体" w:eastAsia="宋体" w:hAnsi="宋体" w:cs="宋体" w:hint="eastAsia"/>
          <w:color w:val="000000"/>
          <w:kern w:val="0"/>
          <w:sz w:val="26"/>
          <w:szCs w:val="26"/>
        </w:rPr>
        <w:t>.</w:t>
      </w:r>
    </w:p>
    <w:p w:rsidR="00D977E0" w:rsidRPr="00D977E0" w:rsidRDefault="00D977E0" w:rsidP="00D977E0">
      <w:pPr>
        <w:widowControl/>
        <w:shd w:val="clear" w:color="auto" w:fill="F5F8FD"/>
        <w:spacing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w:t>
      </w:r>
      <w:hyperlink r:id="rId19" w:tgtFrame="_blank" w:history="1">
        <w:r w:rsidRPr="00D977E0">
          <w:rPr>
            <w:rFonts w:ascii="宋体" w:eastAsia="宋体" w:hAnsi="宋体" w:cs="宋体" w:hint="eastAsia"/>
            <w:color w:val="0000FF"/>
            <w:kern w:val="0"/>
            <w:sz w:val="26"/>
            <w:u w:val="single"/>
          </w:rPr>
          <w:t>国信证券</w:t>
        </w:r>
      </w:hyperlink>
      <w:r w:rsidRPr="00D977E0">
        <w:rPr>
          <w:rFonts w:ascii="宋体" w:eastAsia="宋体" w:hAnsi="宋体" w:cs="宋体" w:hint="eastAsia"/>
          <w:color w:val="000000"/>
          <w:kern w:val="0"/>
          <w:sz w:val="26"/>
          <w:szCs w:val="26"/>
        </w:rPr>
        <w:t>指出，海绵城市建设要求高，只有综合竞争力强的企业才能胜出：技术实力+市场能力+资金运作能力。①海绵城市建设涉及流域治理、管网建设、生态修复、物联网等各方</w:t>
      </w:r>
      <w:proofErr w:type="gramStart"/>
      <w:r w:rsidRPr="00D977E0">
        <w:rPr>
          <w:rFonts w:ascii="宋体" w:eastAsia="宋体" w:hAnsi="宋体" w:cs="宋体" w:hint="eastAsia"/>
          <w:color w:val="000000"/>
          <w:kern w:val="0"/>
          <w:sz w:val="26"/>
          <w:szCs w:val="26"/>
        </w:rPr>
        <w:t>面整体</w:t>
      </w:r>
      <w:proofErr w:type="gramEnd"/>
      <w:r w:rsidRPr="00D977E0">
        <w:rPr>
          <w:rFonts w:ascii="宋体" w:eastAsia="宋体" w:hAnsi="宋体" w:cs="宋体" w:hint="eastAsia"/>
          <w:color w:val="000000"/>
          <w:kern w:val="0"/>
          <w:sz w:val="26"/>
          <w:szCs w:val="26"/>
        </w:rPr>
        <w:t>解决方案，因此对公司综合技术工程能力要求高；②海绵城市建设下游主要是政府， 因此项目经验和市场获取能力也至关重要；③海绵城市建设项目体量大，需要</w:t>
      </w:r>
      <w:proofErr w:type="gramStart"/>
      <w:r w:rsidRPr="00D977E0">
        <w:rPr>
          <w:rFonts w:ascii="宋体" w:eastAsia="宋体" w:hAnsi="宋体" w:cs="宋体" w:hint="eastAsia"/>
          <w:color w:val="000000"/>
          <w:kern w:val="0"/>
          <w:sz w:val="26"/>
          <w:szCs w:val="26"/>
        </w:rPr>
        <w:t>放较高</w:t>
      </w:r>
      <w:proofErr w:type="gramEnd"/>
      <w:r w:rsidRPr="00D977E0">
        <w:rPr>
          <w:rFonts w:ascii="宋体" w:eastAsia="宋体" w:hAnsi="宋体" w:cs="宋体" w:hint="eastAsia"/>
          <w:color w:val="000000"/>
          <w:kern w:val="0"/>
          <w:sz w:val="26"/>
          <w:szCs w:val="26"/>
        </w:rPr>
        <w:t>杠杆和有较强资金运作能力才能做好。</w:t>
      </w:r>
    </w:p>
    <w:p w:rsidR="00D977E0" w:rsidRPr="00D977E0" w:rsidRDefault="00D977E0" w:rsidP="00D977E0">
      <w:pPr>
        <w:widowControl/>
        <w:shd w:val="clear" w:color="auto" w:fill="F5F8FD"/>
        <w:spacing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国信证券认为，主要受益公司有：“从提供海绵城市建设设计方案的设计院出发，向综合设计、工程、运营整体环境解决方案服务商迈进的公司。”一、监测业务逐渐切入到海绵城市建设，推荐聚光科技。海绵城市的设计依赖现代化感应设备和以大数据为基础的设计规划，环境监测类公司也将逐渐从监测业务切入到海绵城市建设中，例如聚光科技和</w:t>
      </w:r>
      <w:hyperlink r:id="rId20" w:tgtFrame="_blank" w:history="1">
        <w:r w:rsidRPr="00D977E0">
          <w:rPr>
            <w:rFonts w:ascii="宋体" w:eastAsia="宋体" w:hAnsi="宋体" w:cs="宋体" w:hint="eastAsia"/>
            <w:color w:val="0000FF"/>
            <w:kern w:val="0"/>
            <w:sz w:val="26"/>
            <w:u w:val="single"/>
          </w:rPr>
          <w:t>雪</w:t>
        </w:r>
        <w:proofErr w:type="gramStart"/>
        <w:r w:rsidRPr="00D977E0">
          <w:rPr>
            <w:rFonts w:ascii="宋体" w:eastAsia="宋体" w:hAnsi="宋体" w:cs="宋体" w:hint="eastAsia"/>
            <w:color w:val="0000FF"/>
            <w:kern w:val="0"/>
            <w:sz w:val="26"/>
            <w:u w:val="single"/>
          </w:rPr>
          <w:t>迪</w:t>
        </w:r>
        <w:proofErr w:type="gramEnd"/>
        <w:r w:rsidRPr="00D977E0">
          <w:rPr>
            <w:rFonts w:ascii="宋体" w:eastAsia="宋体" w:hAnsi="宋体" w:cs="宋体" w:hint="eastAsia"/>
            <w:color w:val="0000FF"/>
            <w:kern w:val="0"/>
            <w:sz w:val="26"/>
            <w:u w:val="single"/>
          </w:rPr>
          <w:t>龙</w:t>
        </w:r>
      </w:hyperlink>
      <w:r w:rsidRPr="00D977E0">
        <w:rPr>
          <w:rFonts w:ascii="宋体" w:eastAsia="宋体" w:hAnsi="宋体" w:cs="宋体" w:hint="eastAsia"/>
          <w:color w:val="000000"/>
          <w:kern w:val="0"/>
          <w:sz w:val="26"/>
        </w:rPr>
        <w:t> </w:t>
      </w:r>
      <w:r w:rsidRPr="00D977E0">
        <w:rPr>
          <w:rFonts w:ascii="宋体" w:eastAsia="宋体" w:hAnsi="宋体" w:cs="宋体" w:hint="eastAsia"/>
          <w:color w:val="000000"/>
          <w:kern w:val="0"/>
          <w:sz w:val="26"/>
          <w:szCs w:val="26"/>
        </w:rPr>
        <w:t>(002658)等。二、水处理工程公司逐渐切入到海绵城市建设，看好</w:t>
      </w:r>
      <w:hyperlink r:id="rId21" w:tgtFrame="_blank" w:history="1">
        <w:r w:rsidRPr="00D977E0">
          <w:rPr>
            <w:rFonts w:ascii="宋体" w:eastAsia="宋体" w:hAnsi="宋体" w:cs="宋体" w:hint="eastAsia"/>
            <w:color w:val="0000FF"/>
            <w:kern w:val="0"/>
            <w:sz w:val="26"/>
            <w:u w:val="single"/>
          </w:rPr>
          <w:t>碧水源</w:t>
        </w:r>
      </w:hyperlink>
      <w:r w:rsidRPr="00D977E0">
        <w:rPr>
          <w:rFonts w:ascii="宋体" w:eastAsia="宋体" w:hAnsi="宋体" w:cs="宋体" w:hint="eastAsia"/>
          <w:color w:val="000000"/>
          <w:kern w:val="0"/>
          <w:sz w:val="26"/>
        </w:rPr>
        <w:t> </w:t>
      </w:r>
      <w:r w:rsidRPr="00D977E0">
        <w:rPr>
          <w:rFonts w:ascii="宋体" w:eastAsia="宋体" w:hAnsi="宋体" w:cs="宋体" w:hint="eastAsia"/>
          <w:color w:val="000000"/>
          <w:kern w:val="0"/>
          <w:sz w:val="26"/>
          <w:szCs w:val="26"/>
        </w:rPr>
        <w:t>(300070)、</w:t>
      </w:r>
      <w:hyperlink r:id="rId22" w:tgtFrame="_blank" w:history="1">
        <w:proofErr w:type="gramStart"/>
        <w:r w:rsidRPr="00D977E0">
          <w:rPr>
            <w:rFonts w:ascii="宋体" w:eastAsia="宋体" w:hAnsi="宋体" w:cs="宋体" w:hint="eastAsia"/>
            <w:color w:val="0000FF"/>
            <w:kern w:val="0"/>
            <w:sz w:val="26"/>
            <w:u w:val="single"/>
          </w:rPr>
          <w:t>巴安水务</w:t>
        </w:r>
        <w:proofErr w:type="gramEnd"/>
      </w:hyperlink>
      <w:r w:rsidRPr="00D977E0">
        <w:rPr>
          <w:rFonts w:ascii="宋体" w:eastAsia="宋体" w:hAnsi="宋体" w:cs="宋体" w:hint="eastAsia"/>
          <w:color w:val="000000"/>
          <w:kern w:val="0"/>
          <w:sz w:val="26"/>
        </w:rPr>
        <w:t> </w:t>
      </w:r>
      <w:r w:rsidRPr="00D977E0">
        <w:rPr>
          <w:rFonts w:ascii="宋体" w:eastAsia="宋体" w:hAnsi="宋体" w:cs="宋体" w:hint="eastAsia"/>
          <w:color w:val="000000"/>
          <w:kern w:val="0"/>
          <w:sz w:val="26"/>
          <w:szCs w:val="26"/>
        </w:rPr>
        <w:t>(300262)。供水和污水处理厂是海绵城市建</w:t>
      </w:r>
      <w:r w:rsidRPr="00D977E0">
        <w:rPr>
          <w:rFonts w:ascii="宋体" w:eastAsia="宋体" w:hAnsi="宋体" w:cs="宋体" w:hint="eastAsia"/>
          <w:color w:val="000000"/>
          <w:kern w:val="0"/>
          <w:sz w:val="26"/>
          <w:szCs w:val="26"/>
        </w:rPr>
        <w:lastRenderedPageBreak/>
        <w:t>设的重要内容，客户和业务具有协同性，未来这些公司也将逐渐拓展涉及到海绵城市建设市场。</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w:t>
      </w:r>
      <w:r w:rsidRPr="00D977E0">
        <w:rPr>
          <w:rFonts w:ascii="宋体" w:eastAsia="宋体" w:hAnsi="宋体" w:cs="宋体" w:hint="eastAsia"/>
          <w:b/>
          <w:bCs/>
          <w:color w:val="000000"/>
          <w:kern w:val="0"/>
          <w:sz w:val="26"/>
        </w:rPr>
        <w:t>个股点将台</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聚光科技</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公司已经完成在市政、工业污水处理领域的初步布局，并在海绵城市领域签订17亿的框架协议。分析认为，公司以海绵城市项目带动自身环境监测业务，并拓展水务处理业务，做自己擅长的。“公司通过进军水务领域，谋得业绩的快速成长，以期在资本市场融资方面获得更多的优势，带动自身外延扩张的能力，最终成为中国实验室仪器领域的领军者”</w:t>
      </w:r>
    </w:p>
    <w:p w:rsidR="00D977E0" w:rsidRPr="00D977E0" w:rsidRDefault="00D977E0" w:rsidP="00D977E0">
      <w:pPr>
        <w:widowControl/>
        <w:shd w:val="clear" w:color="auto" w:fill="F5F8FD"/>
        <w:spacing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w:t>
      </w:r>
      <w:hyperlink r:id="rId23" w:tgtFrame="_blank" w:history="1">
        <w:r w:rsidRPr="00D977E0">
          <w:rPr>
            <w:rFonts w:ascii="宋体" w:eastAsia="宋体" w:hAnsi="宋体" w:cs="宋体" w:hint="eastAsia"/>
            <w:color w:val="0000FF"/>
            <w:kern w:val="0"/>
            <w:sz w:val="26"/>
            <w:u w:val="single"/>
          </w:rPr>
          <w:t>招商证券</w:t>
        </w:r>
      </w:hyperlink>
      <w:proofErr w:type="gramStart"/>
      <w:r w:rsidRPr="00D977E0">
        <w:rPr>
          <w:rFonts w:ascii="宋体" w:eastAsia="宋体" w:hAnsi="宋体" w:cs="宋体" w:hint="eastAsia"/>
          <w:color w:val="000000"/>
          <w:kern w:val="0"/>
          <w:sz w:val="26"/>
          <w:szCs w:val="26"/>
        </w:rPr>
        <w:t>研</w:t>
      </w:r>
      <w:proofErr w:type="gramEnd"/>
      <w:r w:rsidRPr="00D977E0">
        <w:rPr>
          <w:rFonts w:ascii="宋体" w:eastAsia="宋体" w:hAnsi="宋体" w:cs="宋体" w:hint="eastAsia"/>
          <w:color w:val="000000"/>
          <w:kern w:val="0"/>
          <w:sz w:val="26"/>
          <w:szCs w:val="26"/>
        </w:rPr>
        <w:t>报称，聚光科技持续并购打造大监测平台、战略发展方向升级，将为公司未来发展带来更多机会和更大市场，2015年业务发展及业绩增长的向上拐点已现，在外延扩张和内</w:t>
      </w:r>
      <w:proofErr w:type="gramStart"/>
      <w:r w:rsidRPr="00D977E0">
        <w:rPr>
          <w:rFonts w:ascii="宋体" w:eastAsia="宋体" w:hAnsi="宋体" w:cs="宋体" w:hint="eastAsia"/>
          <w:color w:val="000000"/>
          <w:kern w:val="0"/>
          <w:sz w:val="26"/>
          <w:szCs w:val="26"/>
        </w:rPr>
        <w:t>生增长</w:t>
      </w:r>
      <w:proofErr w:type="gramEnd"/>
      <w:r w:rsidRPr="00D977E0">
        <w:rPr>
          <w:rFonts w:ascii="宋体" w:eastAsia="宋体" w:hAnsi="宋体" w:cs="宋体" w:hint="eastAsia"/>
          <w:color w:val="000000"/>
          <w:kern w:val="0"/>
          <w:sz w:val="26"/>
          <w:szCs w:val="26"/>
        </w:rPr>
        <w:t>双重推动下，公司未来业绩也将呈现超预期的快速增长。</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博</w:t>
      </w:r>
      <w:proofErr w:type="gramStart"/>
      <w:r w:rsidRPr="00D977E0">
        <w:rPr>
          <w:rFonts w:ascii="宋体" w:eastAsia="宋体" w:hAnsi="宋体" w:cs="宋体" w:hint="eastAsia"/>
          <w:color w:val="000000"/>
          <w:kern w:val="0"/>
          <w:sz w:val="26"/>
          <w:szCs w:val="26"/>
        </w:rPr>
        <w:t>世</w:t>
      </w:r>
      <w:proofErr w:type="gramEnd"/>
      <w:r w:rsidRPr="00D977E0">
        <w:rPr>
          <w:rFonts w:ascii="宋体" w:eastAsia="宋体" w:hAnsi="宋体" w:cs="宋体" w:hint="eastAsia"/>
          <w:color w:val="000000"/>
          <w:kern w:val="0"/>
          <w:sz w:val="26"/>
          <w:szCs w:val="26"/>
        </w:rPr>
        <w:t>科</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博</w:t>
      </w:r>
      <w:proofErr w:type="gramStart"/>
      <w:r w:rsidRPr="00D977E0">
        <w:rPr>
          <w:rFonts w:ascii="宋体" w:eastAsia="宋体" w:hAnsi="宋体" w:cs="宋体" w:hint="eastAsia"/>
          <w:color w:val="000000"/>
          <w:kern w:val="0"/>
          <w:sz w:val="26"/>
          <w:szCs w:val="26"/>
        </w:rPr>
        <w:t>世</w:t>
      </w:r>
      <w:proofErr w:type="gramEnd"/>
      <w:r w:rsidRPr="00D977E0">
        <w:rPr>
          <w:rFonts w:ascii="宋体" w:eastAsia="宋体" w:hAnsi="宋体" w:cs="宋体" w:hint="eastAsia"/>
          <w:color w:val="000000"/>
          <w:kern w:val="0"/>
          <w:sz w:val="26"/>
          <w:szCs w:val="26"/>
        </w:rPr>
        <w:t>科11月10日晚间公告 ，广西贺州华润循环经济产业示范区管理委员会与公司全资子富川博</w:t>
      </w:r>
      <w:proofErr w:type="gramStart"/>
      <w:r w:rsidRPr="00D977E0">
        <w:rPr>
          <w:rFonts w:ascii="宋体" w:eastAsia="宋体" w:hAnsi="宋体" w:cs="宋体" w:hint="eastAsia"/>
          <w:color w:val="000000"/>
          <w:kern w:val="0"/>
          <w:sz w:val="26"/>
          <w:szCs w:val="26"/>
        </w:rPr>
        <w:t>世</w:t>
      </w:r>
      <w:proofErr w:type="gramEnd"/>
      <w:r w:rsidRPr="00D977E0">
        <w:rPr>
          <w:rFonts w:ascii="宋体" w:eastAsia="宋体" w:hAnsi="宋体" w:cs="宋体" w:hint="eastAsia"/>
          <w:color w:val="000000"/>
          <w:kern w:val="0"/>
          <w:sz w:val="26"/>
          <w:szCs w:val="26"/>
        </w:rPr>
        <w:t>科水务就“富川莲山污水处理厂项目”签署了《城市污水处理特许经营合同》，富川博</w:t>
      </w:r>
      <w:proofErr w:type="gramStart"/>
      <w:r w:rsidRPr="00D977E0">
        <w:rPr>
          <w:rFonts w:ascii="宋体" w:eastAsia="宋体" w:hAnsi="宋体" w:cs="宋体" w:hint="eastAsia"/>
          <w:color w:val="000000"/>
          <w:kern w:val="0"/>
          <w:sz w:val="26"/>
          <w:szCs w:val="26"/>
        </w:rPr>
        <w:t>世</w:t>
      </w:r>
      <w:proofErr w:type="gramEnd"/>
      <w:r w:rsidRPr="00D977E0">
        <w:rPr>
          <w:rFonts w:ascii="宋体" w:eastAsia="宋体" w:hAnsi="宋体" w:cs="宋体" w:hint="eastAsia"/>
          <w:color w:val="000000"/>
          <w:kern w:val="0"/>
          <w:sz w:val="26"/>
          <w:szCs w:val="26"/>
        </w:rPr>
        <w:t>科被授予在特许经营期限和特许经营区域范围内对污水处理项目享有融资、运营、维护的权利，同时享有收取污水处理费用的权利。</w:t>
      </w:r>
    </w:p>
    <w:p w:rsidR="00D977E0" w:rsidRPr="00D977E0" w:rsidRDefault="00D977E0" w:rsidP="00D977E0">
      <w:pPr>
        <w:widowControl/>
        <w:shd w:val="clear" w:color="auto" w:fill="F5F8FD"/>
        <w:spacing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lastRenderedPageBreak/>
        <w:t xml:space="preserve">　　据披露，截止2015年9月30日，公司新增已签合同额6.60亿元，其中第三季度新增已签合同额达3.91亿元。截止三季报披露日，在手合同额累计达到8.25亿元，其中千万金额以上项目共13个，未来收入将高速增长。</w:t>
      </w:r>
      <w:hyperlink r:id="rId24" w:tgtFrame="_blank" w:history="1">
        <w:proofErr w:type="gramStart"/>
        <w:r w:rsidRPr="00D977E0">
          <w:rPr>
            <w:rFonts w:ascii="宋体" w:eastAsia="宋体" w:hAnsi="宋体" w:cs="宋体" w:hint="eastAsia"/>
            <w:color w:val="0000FF"/>
            <w:kern w:val="0"/>
            <w:sz w:val="26"/>
            <w:u w:val="single"/>
          </w:rPr>
          <w:t>申万宏</w:t>
        </w:r>
        <w:proofErr w:type="gramEnd"/>
        <w:r w:rsidRPr="00D977E0">
          <w:rPr>
            <w:rFonts w:ascii="宋体" w:eastAsia="宋体" w:hAnsi="宋体" w:cs="宋体" w:hint="eastAsia"/>
            <w:color w:val="0000FF"/>
            <w:kern w:val="0"/>
            <w:sz w:val="26"/>
            <w:u w:val="single"/>
          </w:rPr>
          <w:t>源</w:t>
        </w:r>
      </w:hyperlink>
      <w:r w:rsidRPr="00D977E0">
        <w:rPr>
          <w:rFonts w:ascii="宋体" w:eastAsia="宋体" w:hAnsi="宋体" w:cs="宋体" w:hint="eastAsia"/>
          <w:color w:val="000000"/>
          <w:kern w:val="0"/>
          <w:sz w:val="26"/>
          <w:szCs w:val="26"/>
        </w:rPr>
        <w:t>称，考虑到水十条+PPP将带来水治理订单大增，公司积极承接市政污水处理项目并布局千亿土壤修复市场，我们认为公司未来具备持续高增长能力。</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雪</w:t>
      </w:r>
      <w:proofErr w:type="gramStart"/>
      <w:r w:rsidRPr="00D977E0">
        <w:rPr>
          <w:rFonts w:ascii="宋体" w:eastAsia="宋体" w:hAnsi="宋体" w:cs="宋体" w:hint="eastAsia"/>
          <w:color w:val="000000"/>
          <w:kern w:val="0"/>
          <w:sz w:val="26"/>
          <w:szCs w:val="26"/>
        </w:rPr>
        <w:t>迪</w:t>
      </w:r>
      <w:proofErr w:type="gramEnd"/>
      <w:r w:rsidRPr="00D977E0">
        <w:rPr>
          <w:rFonts w:ascii="宋体" w:eastAsia="宋体" w:hAnsi="宋体" w:cs="宋体" w:hint="eastAsia"/>
          <w:color w:val="000000"/>
          <w:kern w:val="0"/>
          <w:sz w:val="26"/>
          <w:szCs w:val="26"/>
        </w:rPr>
        <w:t>龙(002658)</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据悉，雪</w:t>
      </w:r>
      <w:proofErr w:type="gramStart"/>
      <w:r w:rsidRPr="00D977E0">
        <w:rPr>
          <w:rFonts w:ascii="宋体" w:eastAsia="宋体" w:hAnsi="宋体" w:cs="宋体" w:hint="eastAsia"/>
          <w:color w:val="000000"/>
          <w:kern w:val="0"/>
          <w:sz w:val="26"/>
          <w:szCs w:val="26"/>
        </w:rPr>
        <w:t>迪</w:t>
      </w:r>
      <w:proofErr w:type="gramEnd"/>
      <w:r w:rsidRPr="00D977E0">
        <w:rPr>
          <w:rFonts w:ascii="宋体" w:eastAsia="宋体" w:hAnsi="宋体" w:cs="宋体" w:hint="eastAsia"/>
          <w:color w:val="000000"/>
          <w:kern w:val="0"/>
          <w:sz w:val="26"/>
          <w:szCs w:val="26"/>
        </w:rPr>
        <w:t>龙今年6-10月公司分别在江西、广州、河南和四川设立分公司，积极拓展各地市场，提升公司产品覆盖率和市占率。目前，公司共有8家分公司，2家控股子公司，布局覆盖全国主要市场。且公司于15年6月尝试介入环境治理领域，控股子公司青海</w:t>
      </w:r>
      <w:proofErr w:type="gramStart"/>
      <w:r w:rsidRPr="00D977E0">
        <w:rPr>
          <w:rFonts w:ascii="宋体" w:eastAsia="宋体" w:hAnsi="宋体" w:cs="宋体" w:hint="eastAsia"/>
          <w:color w:val="000000"/>
          <w:kern w:val="0"/>
          <w:sz w:val="26"/>
          <w:szCs w:val="26"/>
        </w:rPr>
        <w:t>晟</w:t>
      </w:r>
      <w:proofErr w:type="gramEnd"/>
      <w:r w:rsidRPr="00D977E0">
        <w:rPr>
          <w:rFonts w:ascii="宋体" w:eastAsia="宋体" w:hAnsi="宋体" w:cs="宋体" w:hint="eastAsia"/>
          <w:color w:val="000000"/>
          <w:kern w:val="0"/>
          <w:sz w:val="26"/>
          <w:szCs w:val="26"/>
        </w:rPr>
        <w:t>雪与中电加美联合投标海东乐都区污水处理厂PPP 项目。</w:t>
      </w:r>
    </w:p>
    <w:p w:rsidR="00D977E0" w:rsidRPr="00D977E0" w:rsidRDefault="00D977E0" w:rsidP="00D977E0">
      <w:pPr>
        <w:widowControl/>
        <w:shd w:val="clear" w:color="auto" w:fill="F5F8FD"/>
        <w:spacing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而在9月，</w:t>
      </w:r>
      <w:hyperlink r:id="rId25" w:tgtFrame="_blank" w:history="1">
        <w:r w:rsidRPr="00D977E0">
          <w:rPr>
            <w:rFonts w:ascii="宋体" w:eastAsia="宋体" w:hAnsi="宋体" w:cs="宋体" w:hint="eastAsia"/>
            <w:color w:val="0000FF"/>
            <w:kern w:val="0"/>
            <w:sz w:val="26"/>
            <w:u w:val="single"/>
          </w:rPr>
          <w:t>公司公告</w:t>
        </w:r>
      </w:hyperlink>
      <w:r w:rsidRPr="00D977E0">
        <w:rPr>
          <w:rFonts w:ascii="宋体" w:eastAsia="宋体" w:hAnsi="宋体" w:cs="宋体" w:hint="eastAsia"/>
          <w:color w:val="000000"/>
          <w:kern w:val="0"/>
          <w:sz w:val="26"/>
          <w:szCs w:val="26"/>
        </w:rPr>
        <w:t>称与</w:t>
      </w:r>
      <w:hyperlink r:id="rId26" w:tgtFrame="_blank" w:history="1">
        <w:r w:rsidRPr="00D977E0">
          <w:rPr>
            <w:rFonts w:ascii="宋体" w:eastAsia="宋体" w:hAnsi="宋体" w:cs="宋体" w:hint="eastAsia"/>
            <w:color w:val="0000FF"/>
            <w:kern w:val="0"/>
            <w:sz w:val="26"/>
            <w:u w:val="single"/>
          </w:rPr>
          <w:t>清新环境</w:t>
        </w:r>
      </w:hyperlink>
      <w:r w:rsidRPr="00D977E0">
        <w:rPr>
          <w:rFonts w:ascii="宋体" w:eastAsia="宋体" w:hAnsi="宋体" w:cs="宋体" w:hint="eastAsia"/>
          <w:color w:val="000000"/>
          <w:kern w:val="0"/>
          <w:sz w:val="26"/>
          <w:szCs w:val="26"/>
        </w:rPr>
        <w:t>等共同投资设立规模为5000万元的重庆智慧思特环保大数据有限公司，其中公司出资750万元。合资公司主要开展环保数据咨询与分析、数据</w:t>
      </w:r>
      <w:proofErr w:type="gramStart"/>
      <w:r w:rsidRPr="00D977E0">
        <w:rPr>
          <w:rFonts w:ascii="宋体" w:eastAsia="宋体" w:hAnsi="宋体" w:cs="宋体" w:hint="eastAsia"/>
          <w:color w:val="000000"/>
          <w:kern w:val="0"/>
          <w:sz w:val="26"/>
          <w:szCs w:val="26"/>
        </w:rPr>
        <w:t>交互与</w:t>
      </w:r>
      <w:proofErr w:type="gramEnd"/>
      <w:r w:rsidRPr="00D977E0">
        <w:rPr>
          <w:rFonts w:ascii="宋体" w:eastAsia="宋体" w:hAnsi="宋体" w:cs="宋体" w:hint="eastAsia"/>
          <w:color w:val="000000"/>
          <w:kern w:val="0"/>
          <w:sz w:val="26"/>
          <w:szCs w:val="26"/>
        </w:rPr>
        <w:t>交易、环境公众信息服务等业务，提供污染排放监测数据服务和大气环境质量监测数据服务，并在此基础上通过数据挖掘提供数据增值服务等。</w:t>
      </w:r>
    </w:p>
    <w:p w:rsidR="00D977E0" w:rsidRPr="00D977E0" w:rsidRDefault="00D977E0" w:rsidP="00D977E0">
      <w:pPr>
        <w:widowControl/>
        <w:shd w:val="clear" w:color="auto" w:fill="F5F8FD"/>
        <w:spacing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w:t>
      </w:r>
      <w:hyperlink r:id="rId27" w:tgtFrame="_blank" w:history="1">
        <w:r w:rsidRPr="00D977E0">
          <w:rPr>
            <w:rFonts w:ascii="宋体" w:eastAsia="宋体" w:hAnsi="宋体" w:cs="宋体" w:hint="eastAsia"/>
            <w:color w:val="0000FF"/>
            <w:kern w:val="0"/>
            <w:sz w:val="26"/>
            <w:u w:val="single"/>
          </w:rPr>
          <w:t>西南证券</w:t>
        </w:r>
      </w:hyperlink>
      <w:r w:rsidRPr="00D977E0">
        <w:rPr>
          <w:rFonts w:ascii="宋体" w:eastAsia="宋体" w:hAnsi="宋体" w:cs="宋体" w:hint="eastAsia"/>
          <w:color w:val="000000"/>
          <w:kern w:val="0"/>
          <w:sz w:val="26"/>
          <w:szCs w:val="26"/>
        </w:rPr>
        <w:t>指出，公司中标污水处理PPP项目，进军环境综合治理领域，为突破监测细分领域行业天花板奠定基础。智慧环保领域已取得一定的进展，进军环保大数据领域，打造环境监测平台，龙头优势逐渐显现，未来市场空间广阔。</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lastRenderedPageBreak/>
        <w:t xml:space="preserve">　　*ST华赛</w:t>
      </w:r>
    </w:p>
    <w:p w:rsidR="00D977E0" w:rsidRPr="00D977E0" w:rsidRDefault="00D977E0" w:rsidP="00D977E0">
      <w:pPr>
        <w:widowControl/>
        <w:shd w:val="clear" w:color="auto" w:fill="F5F8FD"/>
        <w:spacing w:before="281" w:after="281"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公司持有70%股权</w:t>
      </w:r>
      <w:proofErr w:type="gramStart"/>
      <w:r w:rsidRPr="00D977E0">
        <w:rPr>
          <w:rFonts w:ascii="宋体" w:eastAsia="宋体" w:hAnsi="宋体" w:cs="宋体" w:hint="eastAsia"/>
          <w:color w:val="000000"/>
          <w:kern w:val="0"/>
          <w:sz w:val="26"/>
          <w:szCs w:val="26"/>
        </w:rPr>
        <w:t>的清控人居</w:t>
      </w:r>
      <w:proofErr w:type="gramEnd"/>
      <w:r w:rsidRPr="00D977E0">
        <w:rPr>
          <w:rFonts w:ascii="宋体" w:eastAsia="宋体" w:hAnsi="宋体" w:cs="宋体" w:hint="eastAsia"/>
          <w:color w:val="000000"/>
          <w:kern w:val="0"/>
          <w:sz w:val="26"/>
          <w:szCs w:val="26"/>
        </w:rPr>
        <w:t>，分别协助迁安、萍乡、贵安新区、池州4市成功进入海绵城市试点名单，占试点城市的1/4，故在该4市的招标中，有大概率中标，4市拟投资总额达355.11亿，公司成为海绵城市方向受益最大的标的；而公司也为此，通过了非公开募集预案，发行价格8.12元/股，募集资金达48.72亿，</w:t>
      </w:r>
      <w:proofErr w:type="gramStart"/>
      <w:r w:rsidRPr="00D977E0">
        <w:rPr>
          <w:rFonts w:ascii="宋体" w:eastAsia="宋体" w:hAnsi="宋体" w:cs="宋体" w:hint="eastAsia"/>
          <w:color w:val="000000"/>
          <w:kern w:val="0"/>
          <w:sz w:val="26"/>
          <w:szCs w:val="26"/>
        </w:rPr>
        <w:t>拟全部</w:t>
      </w:r>
      <w:proofErr w:type="gramEnd"/>
      <w:r w:rsidRPr="00D977E0">
        <w:rPr>
          <w:rFonts w:ascii="宋体" w:eastAsia="宋体" w:hAnsi="宋体" w:cs="宋体" w:hint="eastAsia"/>
          <w:color w:val="000000"/>
          <w:kern w:val="0"/>
          <w:sz w:val="26"/>
          <w:szCs w:val="26"/>
        </w:rPr>
        <w:t>投入到海绵城市PPP项目中，并拟收购北京中环世纪100%股权，加强公司海绵城市业务实力。</w:t>
      </w:r>
    </w:p>
    <w:p w:rsidR="00D977E0" w:rsidRPr="00D977E0" w:rsidRDefault="00D977E0" w:rsidP="00D977E0">
      <w:pPr>
        <w:widowControl/>
        <w:shd w:val="clear" w:color="auto" w:fill="F5F8FD"/>
        <w:spacing w:line="411" w:lineRule="atLeast"/>
        <w:jc w:val="left"/>
        <w:rPr>
          <w:rFonts w:ascii="宋体" w:eastAsia="宋体" w:hAnsi="宋体" w:cs="宋体" w:hint="eastAsia"/>
          <w:color w:val="000000"/>
          <w:kern w:val="0"/>
          <w:sz w:val="26"/>
          <w:szCs w:val="26"/>
        </w:rPr>
      </w:pPr>
      <w:r w:rsidRPr="00D977E0">
        <w:rPr>
          <w:rFonts w:ascii="宋体" w:eastAsia="宋体" w:hAnsi="宋体" w:cs="宋体" w:hint="eastAsia"/>
          <w:color w:val="000000"/>
          <w:kern w:val="0"/>
          <w:sz w:val="26"/>
          <w:szCs w:val="26"/>
        </w:rPr>
        <w:t xml:space="preserve">　　华泰证券指出，公司通过非公开发行募集资金，偿债后大大降低财务费用，这是实现扭亏为盈的重要环节。2015年1月非公开发行股票 ，募集资金净额5.22亿，已使用其偿还股东赛格集团2.5亿，偿还</w:t>
      </w:r>
      <w:hyperlink r:id="rId28" w:tgtFrame="_blank" w:history="1">
        <w:r w:rsidRPr="00D977E0">
          <w:rPr>
            <w:rFonts w:ascii="宋体" w:eastAsia="宋体" w:hAnsi="宋体" w:cs="宋体" w:hint="eastAsia"/>
            <w:color w:val="0000FF"/>
            <w:kern w:val="0"/>
            <w:sz w:val="26"/>
            <w:u w:val="single"/>
          </w:rPr>
          <w:t>平安银行</w:t>
        </w:r>
      </w:hyperlink>
      <w:r w:rsidRPr="00D977E0">
        <w:rPr>
          <w:rFonts w:ascii="宋体" w:eastAsia="宋体" w:hAnsi="宋体" w:cs="宋体" w:hint="eastAsia"/>
          <w:color w:val="000000"/>
          <w:kern w:val="0"/>
          <w:sz w:val="26"/>
          <w:szCs w:val="26"/>
        </w:rPr>
        <w:t>短期借款1.2亿，甩掉包袱，大大改善公司的财务状况。“综合考虑环保板块、水务板块估值情况，以及公司业绩情况，估值上限和下限等因素，我们认为合理价格区间在16.38-23.80元/股。”</w:t>
      </w:r>
    </w:p>
    <w:p w:rsidR="007A0C72" w:rsidRDefault="00D977E0"/>
    <w:sectPr w:rsidR="007A0C72" w:rsidSect="0035509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977E0"/>
    <w:rsid w:val="0035509C"/>
    <w:rsid w:val="007B502A"/>
    <w:rsid w:val="00D95D00"/>
    <w:rsid w:val="00D977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509C"/>
    <w:pPr>
      <w:widowControl w:val="0"/>
      <w:jc w:val="both"/>
    </w:pPr>
  </w:style>
  <w:style w:type="paragraph" w:styleId="1">
    <w:name w:val="heading 1"/>
    <w:basedOn w:val="a"/>
    <w:link w:val="1Char"/>
    <w:uiPriority w:val="9"/>
    <w:qFormat/>
    <w:rsid w:val="00D977E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77E0"/>
    <w:rPr>
      <w:rFonts w:ascii="宋体" w:eastAsia="宋体" w:hAnsi="宋体" w:cs="宋体"/>
      <w:b/>
      <w:bCs/>
      <w:kern w:val="36"/>
      <w:sz w:val="48"/>
      <w:szCs w:val="48"/>
    </w:rPr>
  </w:style>
  <w:style w:type="character" w:customStyle="1" w:styleId="apple-converted-space">
    <w:name w:val="apple-converted-space"/>
    <w:basedOn w:val="a0"/>
    <w:rsid w:val="00D977E0"/>
  </w:style>
  <w:style w:type="character" w:styleId="a3">
    <w:name w:val="Hyperlink"/>
    <w:basedOn w:val="a0"/>
    <w:uiPriority w:val="99"/>
    <w:semiHidden/>
    <w:unhideWhenUsed/>
    <w:rsid w:val="00D977E0"/>
    <w:rPr>
      <w:color w:val="0000FF"/>
      <w:u w:val="single"/>
    </w:rPr>
  </w:style>
  <w:style w:type="character" w:customStyle="1" w:styleId="acfontctrl">
    <w:name w:val="ac_fontctrl"/>
    <w:basedOn w:val="a0"/>
    <w:rsid w:val="00D977E0"/>
  </w:style>
  <w:style w:type="character" w:customStyle="1" w:styleId="split">
    <w:name w:val="split"/>
    <w:basedOn w:val="a0"/>
    <w:rsid w:val="00D977E0"/>
  </w:style>
  <w:style w:type="paragraph" w:styleId="a4">
    <w:name w:val="Normal (Web)"/>
    <w:basedOn w:val="a"/>
    <w:uiPriority w:val="99"/>
    <w:semiHidden/>
    <w:unhideWhenUsed/>
    <w:rsid w:val="00D977E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977E0"/>
    <w:rPr>
      <w:b/>
      <w:bCs/>
    </w:rPr>
  </w:style>
  <w:style w:type="paragraph" w:styleId="a6">
    <w:name w:val="Balloon Text"/>
    <w:basedOn w:val="a"/>
    <w:link w:val="Char"/>
    <w:uiPriority w:val="99"/>
    <w:semiHidden/>
    <w:unhideWhenUsed/>
    <w:rsid w:val="00D977E0"/>
    <w:rPr>
      <w:sz w:val="18"/>
      <w:szCs w:val="18"/>
    </w:rPr>
  </w:style>
  <w:style w:type="character" w:customStyle="1" w:styleId="Char">
    <w:name w:val="批注框文本 Char"/>
    <w:basedOn w:val="a0"/>
    <w:link w:val="a6"/>
    <w:uiPriority w:val="99"/>
    <w:semiHidden/>
    <w:rsid w:val="00D977E0"/>
    <w:rPr>
      <w:sz w:val="18"/>
      <w:szCs w:val="18"/>
    </w:rPr>
  </w:style>
</w:styles>
</file>

<file path=word/webSettings.xml><?xml version="1.0" encoding="utf-8"?>
<w:webSettings xmlns:r="http://schemas.openxmlformats.org/officeDocument/2006/relationships" xmlns:w="http://schemas.openxmlformats.org/wordprocessingml/2006/main">
  <w:divs>
    <w:div w:id="56900692">
      <w:bodyDiv w:val="1"/>
      <w:marLeft w:val="0"/>
      <w:marRight w:val="0"/>
      <w:marTop w:val="0"/>
      <w:marBottom w:val="0"/>
      <w:divBdr>
        <w:top w:val="none" w:sz="0" w:space="0" w:color="auto"/>
        <w:left w:val="none" w:sz="0" w:space="0" w:color="auto"/>
        <w:bottom w:val="none" w:sz="0" w:space="0" w:color="auto"/>
        <w:right w:val="none" w:sz="0" w:space="0" w:color="auto"/>
      </w:divBdr>
      <w:divsChild>
        <w:div w:id="266617568">
          <w:marLeft w:val="0"/>
          <w:marRight w:val="0"/>
          <w:marTop w:val="0"/>
          <w:marBottom w:val="0"/>
          <w:divBdr>
            <w:top w:val="none" w:sz="0" w:space="0" w:color="auto"/>
            <w:left w:val="none" w:sz="0" w:space="0" w:color="auto"/>
            <w:bottom w:val="none" w:sz="0" w:space="0" w:color="auto"/>
            <w:right w:val="none" w:sz="0" w:space="0" w:color="auto"/>
          </w:divBdr>
        </w:div>
        <w:div w:id="498081277">
          <w:marLeft w:val="0"/>
          <w:marRight w:val="0"/>
          <w:marTop w:val="281"/>
          <w:marBottom w:val="0"/>
          <w:divBdr>
            <w:top w:val="none" w:sz="0" w:space="0" w:color="auto"/>
            <w:left w:val="none" w:sz="0" w:space="0" w:color="auto"/>
            <w:bottom w:val="none" w:sz="0" w:space="0" w:color="auto"/>
            <w:right w:val="none" w:sz="0" w:space="0" w:color="auto"/>
          </w:divBdr>
          <w:divsChild>
            <w:div w:id="717434047">
              <w:marLeft w:val="0"/>
              <w:marRight w:val="0"/>
              <w:marTop w:val="0"/>
              <w:marBottom w:val="150"/>
              <w:divBdr>
                <w:top w:val="single" w:sz="8" w:space="8" w:color="CCCCCC"/>
                <w:left w:val="single" w:sz="8" w:space="8" w:color="CCCCCC"/>
                <w:bottom w:val="single" w:sz="8" w:space="8" w:color="CCCCCC"/>
                <w:right w:val="single" w:sz="8" w:space="8" w:color="CCCCC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quote.eastmoney.com/SH600109.html" TargetMode="External"/><Relationship Id="rId18" Type="http://schemas.openxmlformats.org/officeDocument/2006/relationships/hyperlink" Target="http://quote.eastmoney.com/SZ300422.html" TargetMode="External"/><Relationship Id="rId26" Type="http://schemas.openxmlformats.org/officeDocument/2006/relationships/hyperlink" Target="http://quote.eastmoney.com/SZ002573.html" TargetMode="External"/><Relationship Id="rId3" Type="http://schemas.openxmlformats.org/officeDocument/2006/relationships/webSettings" Target="webSettings.xml"/><Relationship Id="rId21" Type="http://schemas.openxmlformats.org/officeDocument/2006/relationships/hyperlink" Target="http://quote.eastmoney.com/SZ300070.html" TargetMode="External"/><Relationship Id="rId7" Type="http://schemas.openxmlformats.org/officeDocument/2006/relationships/hyperlink" Target="javascript:void(0);" TargetMode="External"/><Relationship Id="rId12" Type="http://schemas.openxmlformats.org/officeDocument/2006/relationships/hyperlink" Target="http://stock.eastmoney.com/hangye/hy427.html" TargetMode="External"/><Relationship Id="rId17" Type="http://schemas.openxmlformats.org/officeDocument/2006/relationships/hyperlink" Target="http://quote.eastmoney.com/SZ002310.html" TargetMode="External"/><Relationship Id="rId25" Type="http://schemas.openxmlformats.org/officeDocument/2006/relationships/hyperlink" Target="http://data.eastmoney.com/notice/" TargetMode="External"/><Relationship Id="rId2" Type="http://schemas.openxmlformats.org/officeDocument/2006/relationships/settings" Target="settings.xml"/><Relationship Id="rId16" Type="http://schemas.openxmlformats.org/officeDocument/2006/relationships/hyperlink" Target="http://quote.eastmoney.com/SZ000068.html" TargetMode="External"/><Relationship Id="rId20" Type="http://schemas.openxmlformats.org/officeDocument/2006/relationships/hyperlink" Target="http://quote.eastmoney.com/SZ002658.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http://js5.eastmoney.com/tg.aspx?ID=1759" TargetMode="External"/><Relationship Id="rId24" Type="http://schemas.openxmlformats.org/officeDocument/2006/relationships/hyperlink" Target="http://quote.eastmoney.com/SZ000166.html" TargetMode="External"/><Relationship Id="rId5" Type="http://schemas.openxmlformats.org/officeDocument/2006/relationships/hyperlink" Target="http://www.eastmoney.com/" TargetMode="External"/><Relationship Id="rId15" Type="http://schemas.openxmlformats.org/officeDocument/2006/relationships/hyperlink" Target="http://quote.eastmoney.com/SZ300203.html" TargetMode="External"/><Relationship Id="rId23" Type="http://schemas.openxmlformats.org/officeDocument/2006/relationships/hyperlink" Target="http://quote.eastmoney.com/SH600999.html" TargetMode="External"/><Relationship Id="rId28" Type="http://schemas.openxmlformats.org/officeDocument/2006/relationships/hyperlink" Target="http://quote.eastmoney.com/SZ000001.html" TargetMode="External"/><Relationship Id="rId10" Type="http://schemas.openxmlformats.org/officeDocument/2006/relationships/image" Target="media/image2.gif"/><Relationship Id="rId19" Type="http://schemas.openxmlformats.org/officeDocument/2006/relationships/hyperlink" Target="http://quote.eastmoney.com/SZ002736.html" TargetMode="External"/><Relationship Id="rId4" Type="http://schemas.openxmlformats.org/officeDocument/2006/relationships/image" Target="media/image1.gif"/><Relationship Id="rId9" Type="http://schemas.openxmlformats.org/officeDocument/2006/relationships/hyperlink" Target="http://guba.eastmoney.com/news,cjpl,225917215.html" TargetMode="External"/><Relationship Id="rId14" Type="http://schemas.openxmlformats.org/officeDocument/2006/relationships/hyperlink" Target="http://quote.eastmoney.com/SH601688.html" TargetMode="External"/><Relationship Id="rId22" Type="http://schemas.openxmlformats.org/officeDocument/2006/relationships/hyperlink" Target="http://quote.eastmoney.com/SZ300262.html" TargetMode="External"/><Relationship Id="rId27" Type="http://schemas.openxmlformats.org/officeDocument/2006/relationships/hyperlink" Target="http://quote.eastmoney.com/SH600369.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2015-11-27T00:46:00Z</dcterms:created>
  <dcterms:modified xsi:type="dcterms:W3CDTF">2015-11-27T00:50:00Z</dcterms:modified>
</cp:coreProperties>
</file>