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0BD" w:rsidRPr="00C000BD" w:rsidRDefault="00C000BD" w:rsidP="00C000BD">
      <w:pPr>
        <w:widowControl/>
        <w:pBdr>
          <w:bottom w:val="single" w:sz="6" w:space="6" w:color="C0D8F2"/>
        </w:pBdr>
        <w:shd w:val="clear" w:color="auto" w:fill="F5F8FD"/>
        <w:spacing w:line="540" w:lineRule="atLeast"/>
        <w:jc w:val="center"/>
        <w:outlineLvl w:val="0"/>
        <w:rPr>
          <w:rFonts w:ascii="黑体" w:eastAsia="黑体" w:hAnsi="黑体" w:cs="宋体"/>
          <w:b/>
          <w:bCs/>
          <w:color w:val="00006B"/>
          <w:spacing w:val="-15"/>
          <w:kern w:val="36"/>
          <w:sz w:val="38"/>
          <w:szCs w:val="38"/>
        </w:rPr>
      </w:pPr>
      <w:r w:rsidRPr="00C000BD">
        <w:rPr>
          <w:rFonts w:ascii="黑体" w:eastAsia="黑体" w:hAnsi="黑体" w:cs="宋体" w:hint="eastAsia"/>
          <w:b/>
          <w:bCs/>
          <w:color w:val="00006B"/>
          <w:spacing w:val="-15"/>
          <w:kern w:val="36"/>
          <w:sz w:val="38"/>
          <w:szCs w:val="38"/>
        </w:rPr>
        <w:t>证监会祭出场外衍生品融资五项禁令</w:t>
      </w:r>
    </w:p>
    <w:p w:rsidR="00C000BD" w:rsidRPr="00C000BD" w:rsidRDefault="00C000BD" w:rsidP="00C000BD">
      <w:pPr>
        <w:widowControl/>
        <w:shd w:val="clear" w:color="auto" w:fill="F5F8FD"/>
        <w:spacing w:line="21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000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2015年11月27日 04:46来源：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7200" cy="114300"/>
            <wp:effectExtent l="19050" t="0" r="0" b="0"/>
            <wp:docPr id="1" name="图片 1" descr="http://cmsjs.eastmoney.com/DynamicImg/media/8BC1523865F662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js.eastmoney.com/DynamicImg/media/8BC1523865F662A5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00BD">
        <w:rPr>
          <w:rFonts w:ascii="宋体" w:eastAsia="宋体" w:hAnsi="宋体" w:cs="宋体" w:hint="eastAsia"/>
          <w:color w:val="000000"/>
          <w:kern w:val="0"/>
          <w:sz w:val="18"/>
        </w:rPr>
        <w:t> </w:t>
      </w:r>
      <w:r w:rsidRPr="00C000B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编辑：</w:t>
      </w:r>
      <w:hyperlink r:id="rId5" w:tgtFrame="_blank" w:history="1">
        <w:r w:rsidRPr="00C000BD">
          <w:rPr>
            <w:rFonts w:ascii="宋体" w:eastAsia="宋体" w:hAnsi="宋体" w:cs="宋体" w:hint="eastAsia"/>
            <w:color w:val="002D82"/>
            <w:kern w:val="0"/>
            <w:sz w:val="18"/>
          </w:rPr>
          <w:t>东方</w:t>
        </w:r>
        <w:proofErr w:type="gramStart"/>
        <w:r w:rsidRPr="00C000BD">
          <w:rPr>
            <w:rFonts w:ascii="宋体" w:eastAsia="宋体" w:hAnsi="宋体" w:cs="宋体" w:hint="eastAsia"/>
            <w:color w:val="002D82"/>
            <w:kern w:val="0"/>
            <w:sz w:val="18"/>
          </w:rPr>
          <w:t>财富网</w:t>
        </w:r>
        <w:proofErr w:type="gramEnd"/>
      </w:hyperlink>
    </w:p>
    <w:p w:rsidR="00C000BD" w:rsidRPr="00C000BD" w:rsidRDefault="00C000BD" w:rsidP="00C000BD">
      <w:pPr>
        <w:widowControl/>
        <w:shd w:val="clear" w:color="auto" w:fill="F5F8FD"/>
        <w:spacing w:line="270" w:lineRule="atLeast"/>
        <w:jc w:val="center"/>
        <w:rPr>
          <w:rFonts w:ascii="宋体" w:eastAsia="宋体" w:hAnsi="宋体" w:cs="宋体" w:hint="eastAsia"/>
          <w:color w:val="717171"/>
          <w:kern w:val="0"/>
          <w:sz w:val="18"/>
          <w:szCs w:val="18"/>
        </w:rPr>
      </w:pPr>
      <w:r w:rsidRPr="00C000BD">
        <w:rPr>
          <w:rFonts w:ascii="宋体" w:eastAsia="宋体" w:hAnsi="宋体" w:cs="宋体" w:hint="eastAsia"/>
          <w:color w:val="717171"/>
          <w:kern w:val="0"/>
          <w:sz w:val="18"/>
        </w:rPr>
        <w:t>字体：</w:t>
      </w:r>
      <w:hyperlink r:id="rId6" w:tgtFrame="_self" w:history="1">
        <w:r w:rsidRPr="00C000BD">
          <w:rPr>
            <w:rFonts w:ascii="宋体" w:eastAsia="宋体" w:hAnsi="宋体" w:cs="宋体" w:hint="eastAsia"/>
            <w:color w:val="545454"/>
            <w:kern w:val="0"/>
            <w:sz w:val="18"/>
            <w:u w:val="single"/>
          </w:rPr>
          <w:t>大</w:t>
        </w:r>
      </w:hyperlink>
      <w:hyperlink r:id="rId7" w:tgtFrame="_self" w:history="1">
        <w:r w:rsidRPr="00C000BD">
          <w:rPr>
            <w:rFonts w:ascii="宋体" w:eastAsia="宋体" w:hAnsi="宋体" w:cs="宋体" w:hint="eastAsia"/>
            <w:color w:val="545454"/>
            <w:kern w:val="0"/>
            <w:sz w:val="18"/>
            <w:u w:val="single"/>
          </w:rPr>
          <w:t>中</w:t>
        </w:r>
      </w:hyperlink>
      <w:hyperlink r:id="rId8" w:tgtFrame="_self" w:history="1">
        <w:r w:rsidRPr="00C000BD">
          <w:rPr>
            <w:rFonts w:ascii="宋体" w:eastAsia="宋体" w:hAnsi="宋体" w:cs="宋体" w:hint="eastAsia"/>
            <w:color w:val="545454"/>
            <w:kern w:val="0"/>
            <w:sz w:val="18"/>
            <w:u w:val="single"/>
          </w:rPr>
          <w:t>小</w:t>
        </w:r>
      </w:hyperlink>
      <w:r w:rsidRPr="00C000BD">
        <w:rPr>
          <w:rFonts w:ascii="宋体" w:eastAsia="宋体" w:hAnsi="宋体" w:cs="宋体" w:hint="eastAsia"/>
          <w:color w:val="717171"/>
          <w:kern w:val="0"/>
          <w:sz w:val="18"/>
        </w:rPr>
        <w:t>|</w:t>
      </w:r>
      <w:hyperlink r:id="rId9" w:history="1">
        <w:r w:rsidRPr="00C000BD">
          <w:rPr>
            <w:rFonts w:ascii="宋体" w:eastAsia="宋体" w:hAnsi="宋体" w:cs="宋体" w:hint="eastAsia"/>
            <w:color w:val="545454"/>
            <w:kern w:val="0"/>
            <w:sz w:val="18"/>
            <w:u w:val="single"/>
          </w:rPr>
          <w:t>已有</w:t>
        </w:r>
        <w:r w:rsidRPr="00C000BD">
          <w:rPr>
            <w:rFonts w:ascii="宋体" w:eastAsia="宋体" w:hAnsi="宋体" w:cs="宋体" w:hint="eastAsia"/>
            <w:b/>
            <w:bCs/>
            <w:color w:val="FF0000"/>
            <w:kern w:val="0"/>
            <w:sz w:val="18"/>
            <w:u w:val="single"/>
          </w:rPr>
          <w:t>10</w:t>
        </w:r>
        <w:r w:rsidRPr="00C000BD">
          <w:rPr>
            <w:rFonts w:ascii="宋体" w:eastAsia="宋体" w:hAnsi="宋体" w:cs="宋体" w:hint="eastAsia"/>
            <w:color w:val="545454"/>
            <w:kern w:val="0"/>
            <w:sz w:val="18"/>
            <w:u w:val="single"/>
          </w:rPr>
          <w:t>人评论，共</w:t>
        </w:r>
        <w:r w:rsidRPr="00C000BD">
          <w:rPr>
            <w:rFonts w:ascii="宋体" w:eastAsia="宋体" w:hAnsi="宋体" w:cs="宋体" w:hint="eastAsia"/>
            <w:b/>
            <w:bCs/>
            <w:color w:val="FF0000"/>
            <w:kern w:val="0"/>
            <w:sz w:val="18"/>
            <w:u w:val="single"/>
          </w:rPr>
          <w:t>18160</w:t>
        </w:r>
        <w:r w:rsidRPr="00C000BD">
          <w:rPr>
            <w:rFonts w:ascii="宋体" w:eastAsia="宋体" w:hAnsi="宋体" w:cs="宋体" w:hint="eastAsia"/>
            <w:color w:val="545454"/>
            <w:kern w:val="0"/>
            <w:sz w:val="18"/>
            <w:u w:val="single"/>
          </w:rPr>
          <w:t>人参与讨论</w:t>
        </w:r>
      </w:hyperlink>
      <w:r w:rsidRPr="00C000BD">
        <w:rPr>
          <w:rFonts w:ascii="宋体" w:eastAsia="宋体" w:hAnsi="宋体" w:cs="宋体" w:hint="eastAsia"/>
          <w:color w:val="717171"/>
          <w:kern w:val="0"/>
          <w:sz w:val="18"/>
        </w:rPr>
        <w:t>|</w:t>
      </w:r>
      <w:r>
        <w:rPr>
          <w:rFonts w:ascii="宋体" w:eastAsia="宋体" w:hAnsi="宋体" w:cs="宋体"/>
          <w:noProof/>
          <w:color w:val="717171"/>
          <w:kern w:val="0"/>
          <w:sz w:val="18"/>
          <w:szCs w:val="18"/>
        </w:rPr>
        <w:drawing>
          <wp:inline distT="0" distB="0" distL="0" distR="0">
            <wp:extent cx="9525" cy="9525"/>
            <wp:effectExtent l="0" t="0" r="0" b="0"/>
            <wp:docPr id="2" name="图片 2" descr="http://cmsjs.eastmoney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sjs.eastmoney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C000BD">
          <w:rPr>
            <w:rFonts w:ascii="宋体" w:eastAsia="宋体" w:hAnsi="宋体" w:cs="宋体" w:hint="eastAsia"/>
            <w:color w:val="545454"/>
            <w:kern w:val="0"/>
            <w:sz w:val="18"/>
            <w:u w:val="single"/>
          </w:rPr>
          <w:t>用手机讨论</w:t>
        </w:r>
      </w:hyperlink>
    </w:p>
    <w:p w:rsidR="00C000BD" w:rsidRPr="00C000BD" w:rsidRDefault="00C000BD" w:rsidP="00C000BD">
      <w:pPr>
        <w:widowControl/>
        <w:shd w:val="clear" w:color="auto" w:fill="FFFFFF"/>
        <w:spacing w:line="330" w:lineRule="atLeast"/>
        <w:ind w:firstLine="360"/>
        <w:jc w:val="left"/>
        <w:rPr>
          <w:rFonts w:ascii="simsun" w:eastAsia="宋体" w:hAnsi="simsun" w:cs="宋体" w:hint="eastAsia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>【证监会祭出场外衍生品融资五项禁令】证监会近日向券商下发通知，要求券商不得通过场外衍生品业务向客户融出资金，供其进行沪深证券交易所上市股票及新三板挂牌股票交易。业界表示，证监会此次共下达了五项禁令，主要针对的是股权融资类权益互换业务，昨日起只能卖出，不能买入，涉及规模大约在千亿元。监管层给出的五项禁令包括：不得新开展此类业务；未完全了结的业务，不得展期；对于已签约客户授信额度尚未完全使用的，不得使用剩余授信额度买入股票；不得使用卖出股票后恢复的授信额度买入股票；不得通过更换标的形式进行买入等。</w:t>
      </w:r>
    </w:p>
    <w:p w:rsidR="00C000BD" w:rsidRPr="00C000BD" w:rsidRDefault="00C000BD" w:rsidP="00C000BD">
      <w:pPr>
        <w:widowControl/>
        <w:shd w:val="clear" w:color="auto" w:fill="F5F8FD"/>
        <w:spacing w:line="330" w:lineRule="atLeast"/>
        <w:jc w:val="center"/>
        <w:rPr>
          <w:rFonts w:ascii="simsun" w:eastAsia="宋体" w:hAnsi="simsun" w:cs="宋体"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762500" cy="2914650"/>
            <wp:effectExtent l="19050" t="0" r="0" b="0"/>
            <wp:docPr id="3" name="图片 3" descr="A股去杠杆”第四波：融资交易类收益互换遭窗口叫停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股去杠杆”第四波：融资交易类收益互换遭窗口叫停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券商向投资者提供最高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5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倍杠杆的渠道被堵住！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证监会近日向券商下发通知，要求券商不得通过场外衍生品业务向客户融出资金，供其进行沪深证券交易所上市股票及新三板挂牌股票交易。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业界表示，证监会此次共下达了五项禁令，主要针对的是股权融资类权益互换业务，昨日起只能卖出，不能买入，涉及规模大约在千亿元。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监管层给出的五项禁令包括：不得新开展此类业务；未完全了结的业务，不得展期；对于已签约客户授信额度尚未完全使用的，不得使用剩余授信额度买入股票；不得使用卖出股票后恢复的授信额度买入股票；不得通过更换标的形式进行买入等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多家券商股权融资类业务负责人表示，监管层此举可能有三个目的：一是整顿此类场外衍生品业务；二是清理此类高杠杆业务；三是将杠杆纳入场内监管。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一位不愿具名的券商人士称，股权融资业务为券商的场外业务，具有明显的非标准化特征，因此各家业务开展目前不可能像场内融资一样规范，而且杠杆显著高于场内融资。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lastRenderedPageBreak/>
        <w:t xml:space="preserve">　　根据证券业协会最新公布的数据，证券公司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月份场外权益类衍生品新增初始名义本金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1082.78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亿元；其中，收益互换业务新增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222.5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亿元，占比约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21%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，期权业务新增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860.29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亿元，占比约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79%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。截至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月末，未了结初始名义本金为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2792.1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亿元，较上月增加约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12%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；其中，互换业务未了结初始名义本金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1217.29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亿元，占比约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44%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，期权业务未了结初始名义本金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1574.81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亿元，占比约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56%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业界表示，本次证监会清理的对象主要针对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1217.29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亿元的权益互换业务。由于这部分资金规模</w:t>
      </w:r>
      <w:proofErr w:type="gramStart"/>
      <w:r w:rsidRPr="00C000BD">
        <w:rPr>
          <w:rFonts w:ascii="simsun" w:eastAsia="宋体" w:hAnsi="simsun" w:cs="宋体"/>
          <w:color w:val="000000"/>
          <w:kern w:val="0"/>
          <w:szCs w:val="21"/>
        </w:rPr>
        <w:t>较股市</w:t>
      </w:r>
      <w:proofErr w:type="gramEnd"/>
      <w:r w:rsidRPr="00C000BD">
        <w:rPr>
          <w:rFonts w:ascii="simsun" w:eastAsia="宋体" w:hAnsi="simsun" w:cs="宋体"/>
          <w:color w:val="000000"/>
          <w:kern w:val="0"/>
          <w:szCs w:val="21"/>
        </w:rPr>
        <w:t>异常波动前的场外配资小得多，也仅为目前场内融资业务的零头，因此，此次清理对市场冲击将非常有限。</w:t>
      </w:r>
    </w:p>
    <w:p w:rsidR="00C000BD" w:rsidRPr="00C000BD" w:rsidRDefault="00C000BD" w:rsidP="00C000BD">
      <w:pPr>
        <w:widowControl/>
        <w:shd w:val="clear" w:color="auto" w:fill="F5F8FD"/>
        <w:spacing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就其本质而言，权益互换也是券商向投资者提供杠杆，是指客户提交一定</w:t>
      </w:r>
      <w:hyperlink r:id="rId13" w:tgtFrame="_blank" w:history="1">
        <w:r w:rsidRPr="00C000BD">
          <w:rPr>
            <w:rFonts w:ascii="simsun" w:eastAsia="宋体" w:hAnsi="simsun" w:cs="宋体"/>
            <w:color w:val="0000FF"/>
            <w:kern w:val="0"/>
            <w:u w:val="single"/>
          </w:rPr>
          <w:t>保证金</w:t>
        </w:r>
      </w:hyperlink>
      <w:r w:rsidRPr="00C000BD">
        <w:rPr>
          <w:rFonts w:ascii="simsun" w:eastAsia="宋体" w:hAnsi="simsun" w:cs="宋体"/>
          <w:color w:val="000000"/>
          <w:kern w:val="0"/>
          <w:szCs w:val="21"/>
        </w:rPr>
        <w:t>后，券商通过自营账户，代替投资者购买约定额度的股票，由此带来的浮盈、浮亏由投资者承担，投资者需要支付约定额度所产生的利息，</w:t>
      </w:r>
      <w:hyperlink r:id="rId14" w:tgtFrame="_blank" w:history="1">
        <w:r w:rsidRPr="00C000BD">
          <w:rPr>
            <w:rFonts w:ascii="simsun" w:eastAsia="宋体" w:hAnsi="simsun" w:cs="宋体"/>
            <w:color w:val="0000FF"/>
            <w:kern w:val="0"/>
            <w:u w:val="single"/>
          </w:rPr>
          <w:t>利率</w:t>
        </w:r>
      </w:hyperlink>
      <w:r w:rsidRPr="00C000BD">
        <w:rPr>
          <w:rFonts w:ascii="simsun" w:eastAsia="宋体" w:hAnsi="simsun" w:cs="宋体"/>
          <w:color w:val="000000"/>
          <w:kern w:val="0"/>
          <w:szCs w:val="21"/>
        </w:rPr>
        <w:t>由投资者和券商共同约定。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由于该项业务属于非标准化的场外业务，因此各券商和投资者之间的约定不尽相同。一般而言，保证金比例为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20%~50%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，</w:t>
      </w:r>
      <w:hyperlink r:id="rId15" w:tgtFrame="_blank" w:history="1">
        <w:r w:rsidRPr="00C000BD">
          <w:rPr>
            <w:rFonts w:ascii="simsun" w:eastAsia="宋体" w:hAnsi="simsun" w:cs="宋体"/>
            <w:color w:val="0000FF"/>
            <w:kern w:val="0"/>
            <w:u w:val="single"/>
          </w:rPr>
          <w:t>利率</w:t>
        </w:r>
      </w:hyperlink>
      <w:r w:rsidRPr="00C000BD">
        <w:rPr>
          <w:rFonts w:ascii="simsun" w:eastAsia="宋体" w:hAnsi="simsun" w:cs="宋体"/>
          <w:color w:val="000000"/>
          <w:kern w:val="0"/>
          <w:szCs w:val="21"/>
        </w:rPr>
        <w:t>为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8%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左右，投资者门槛为净资产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2000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万元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~3000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万元。保证金可以是现金，也可以是国债、企业债或者股票。现金的折算率为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100%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，国债折算率为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90%~95%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，企业债为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70%~80%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，股票折算率为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20%~60%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C000BD" w:rsidRPr="00C000BD" w:rsidRDefault="00C000BD" w:rsidP="00C000BD">
      <w:pPr>
        <w:widowControl/>
        <w:shd w:val="clear" w:color="auto" w:fill="F5F8FD"/>
        <w:spacing w:before="225" w:after="225" w:line="330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C000BD">
        <w:rPr>
          <w:rFonts w:ascii="simsun" w:eastAsia="宋体" w:hAnsi="simsun" w:cs="宋体"/>
          <w:color w:val="000000"/>
          <w:kern w:val="0"/>
          <w:szCs w:val="21"/>
        </w:rPr>
        <w:t xml:space="preserve">　　业界表示，权益互换业务杠杆最高可达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5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倍，通常在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2~3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倍之间，远高于场内融资的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C000BD">
        <w:rPr>
          <w:rFonts w:ascii="simsun" w:eastAsia="宋体" w:hAnsi="simsun" w:cs="宋体"/>
          <w:color w:val="000000"/>
          <w:kern w:val="0"/>
          <w:szCs w:val="21"/>
        </w:rPr>
        <w:t>倍杠杆率。在监管层倡导慢牛、强调逆周期调节杠杆的当下，这类业务</w:t>
      </w:r>
      <w:proofErr w:type="gramStart"/>
      <w:r w:rsidRPr="00C000BD">
        <w:rPr>
          <w:rFonts w:ascii="simsun" w:eastAsia="宋体" w:hAnsi="simsun" w:cs="宋体"/>
          <w:color w:val="000000"/>
          <w:kern w:val="0"/>
          <w:szCs w:val="21"/>
        </w:rPr>
        <w:t>迟早被</w:t>
      </w:r>
      <w:proofErr w:type="gramEnd"/>
      <w:r w:rsidRPr="00C000BD">
        <w:rPr>
          <w:rFonts w:ascii="simsun" w:eastAsia="宋体" w:hAnsi="simsun" w:cs="宋体"/>
          <w:color w:val="000000"/>
          <w:kern w:val="0"/>
          <w:szCs w:val="21"/>
        </w:rPr>
        <w:t>禁止。</w:t>
      </w:r>
    </w:p>
    <w:p w:rsidR="007A0C72" w:rsidRPr="00C000BD" w:rsidRDefault="00C000BD"/>
    <w:sectPr w:rsidR="007A0C72" w:rsidRPr="00C000BD" w:rsidSect="0035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00BD"/>
    <w:rsid w:val="0035509C"/>
    <w:rsid w:val="007B502A"/>
    <w:rsid w:val="00C000BD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09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00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00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000BD"/>
  </w:style>
  <w:style w:type="character" w:styleId="a3">
    <w:name w:val="Hyperlink"/>
    <w:basedOn w:val="a0"/>
    <w:uiPriority w:val="99"/>
    <w:semiHidden/>
    <w:unhideWhenUsed/>
    <w:rsid w:val="00C000BD"/>
    <w:rPr>
      <w:color w:val="0000FF"/>
      <w:u w:val="single"/>
    </w:rPr>
  </w:style>
  <w:style w:type="character" w:customStyle="1" w:styleId="acfontctrl">
    <w:name w:val="ac_fontctrl"/>
    <w:basedOn w:val="a0"/>
    <w:rsid w:val="00C000BD"/>
  </w:style>
  <w:style w:type="character" w:customStyle="1" w:styleId="split">
    <w:name w:val="split"/>
    <w:basedOn w:val="a0"/>
    <w:rsid w:val="00C000BD"/>
  </w:style>
  <w:style w:type="paragraph" w:styleId="a4">
    <w:name w:val="Normal (Web)"/>
    <w:basedOn w:val="a"/>
    <w:uiPriority w:val="99"/>
    <w:semiHidden/>
    <w:unhideWhenUsed/>
    <w:rsid w:val="00C00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000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0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8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532">
              <w:marLeft w:val="0"/>
              <w:marRight w:val="0"/>
              <w:marTop w:val="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quote.eastmoney.com/SZ1590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js5.eastmoney.com/tg.aspx?ID=1759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data.eastmoney.com/cjsj/yhll.html" TargetMode="External"/><Relationship Id="rId10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hyperlink" Target="http://guba.eastmoney.com/news,cjpl,225932608.html" TargetMode="External"/><Relationship Id="rId14" Type="http://schemas.openxmlformats.org/officeDocument/2006/relationships/hyperlink" Target="http://data.eastmoney.com/cjsj/yhl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2015-11-27T00:57:00Z</dcterms:created>
  <dcterms:modified xsi:type="dcterms:W3CDTF">2015-11-27T01:00:00Z</dcterms:modified>
</cp:coreProperties>
</file>