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4F473C" w14:textId="77777777" w:rsidR="006A44E5" w:rsidRPr="006A44E5" w:rsidRDefault="006A44E5" w:rsidP="006A44E5">
      <w:pPr>
        <w:widowControl/>
        <w:pBdr>
          <w:top w:val="single" w:sz="6" w:space="11" w:color="E5E5E5"/>
        </w:pBdr>
        <w:spacing w:after="225" w:line="600" w:lineRule="atLeast"/>
        <w:jc w:val="left"/>
        <w:outlineLvl w:val="0"/>
        <w:rPr>
          <w:rFonts w:ascii="黑体" w:eastAsia="黑体" w:hAnsi="黑体" w:cs="宋体"/>
          <w:b/>
          <w:bCs/>
          <w:color w:val="3F3F3F"/>
          <w:spacing w:val="-15"/>
          <w:kern w:val="36"/>
          <w:sz w:val="42"/>
          <w:szCs w:val="42"/>
        </w:rPr>
      </w:pPr>
      <w:r w:rsidRPr="006A44E5">
        <w:rPr>
          <w:rFonts w:ascii="黑体" w:eastAsia="黑体" w:hAnsi="黑体" w:cs="宋体" w:hint="eastAsia"/>
          <w:b/>
          <w:bCs/>
          <w:color w:val="3F3F3F"/>
          <w:spacing w:val="-15"/>
          <w:kern w:val="36"/>
          <w:sz w:val="42"/>
          <w:szCs w:val="42"/>
        </w:rPr>
        <w:t>美股牛市那十年</w:t>
      </w:r>
    </w:p>
    <w:p w14:paraId="436CC27B" w14:textId="77777777" w:rsidR="006A44E5" w:rsidRPr="006A44E5" w:rsidRDefault="006A44E5" w:rsidP="006A44E5">
      <w:pPr>
        <w:widowControl/>
        <w:spacing w:line="360" w:lineRule="atLeast"/>
        <w:jc w:val="left"/>
        <w:rPr>
          <w:rFonts w:ascii="宋体" w:eastAsia="宋体" w:hAnsi="宋体" w:cs="宋体" w:hint="eastAsia"/>
          <w:color w:val="484848"/>
          <w:kern w:val="0"/>
          <w:sz w:val="18"/>
          <w:szCs w:val="18"/>
        </w:rPr>
      </w:pPr>
      <w:r w:rsidRPr="006A44E5">
        <w:rPr>
          <w:rFonts w:ascii="宋体" w:eastAsia="宋体" w:hAnsi="宋体" w:cs="宋体" w:hint="eastAsia"/>
          <w:color w:val="484848"/>
          <w:kern w:val="0"/>
          <w:sz w:val="18"/>
          <w:szCs w:val="18"/>
        </w:rPr>
        <w:t>2019年01月09日 01:15</w:t>
      </w:r>
    </w:p>
    <w:p w14:paraId="3E6DC1EC" w14:textId="77777777" w:rsidR="006A44E5" w:rsidRPr="006A44E5" w:rsidRDefault="006A44E5" w:rsidP="006A44E5">
      <w:pPr>
        <w:widowControl/>
        <w:spacing w:line="360" w:lineRule="atLeast"/>
        <w:jc w:val="left"/>
        <w:rPr>
          <w:rFonts w:ascii="宋体" w:eastAsia="宋体" w:hAnsi="宋体" w:cs="宋体" w:hint="eastAsia"/>
          <w:color w:val="484848"/>
          <w:kern w:val="0"/>
          <w:sz w:val="18"/>
          <w:szCs w:val="18"/>
        </w:rPr>
      </w:pPr>
      <w:r w:rsidRPr="006A44E5">
        <w:rPr>
          <w:rFonts w:ascii="宋体" w:eastAsia="宋体" w:hAnsi="宋体" w:cs="宋体" w:hint="eastAsia"/>
          <w:color w:val="484848"/>
          <w:kern w:val="0"/>
          <w:sz w:val="18"/>
          <w:szCs w:val="18"/>
        </w:rPr>
        <w:t>来源：</w:t>
      </w:r>
      <w:hyperlink r:id="rId4" w:tgtFrame="_blank" w:history="1">
        <w:r w:rsidRPr="006A44E5">
          <w:rPr>
            <w:rFonts w:ascii="宋体" w:eastAsia="宋体" w:hAnsi="宋体" w:cs="宋体" w:hint="eastAsia"/>
            <w:color w:val="043396"/>
            <w:kern w:val="0"/>
            <w:sz w:val="18"/>
            <w:szCs w:val="18"/>
            <w:u w:val="single"/>
          </w:rPr>
          <w:t>格隆汇</w:t>
        </w:r>
      </w:hyperlink>
    </w:p>
    <w:p w14:paraId="13B56164" w14:textId="77777777" w:rsidR="006A44E5" w:rsidRPr="006A44E5" w:rsidRDefault="006A44E5" w:rsidP="006A44E5">
      <w:pPr>
        <w:widowControl/>
        <w:spacing w:line="360" w:lineRule="atLeast"/>
        <w:jc w:val="left"/>
        <w:rPr>
          <w:rFonts w:ascii="宋体" w:eastAsia="宋体" w:hAnsi="宋体" w:cs="宋体" w:hint="eastAsia"/>
          <w:color w:val="484848"/>
          <w:kern w:val="0"/>
          <w:sz w:val="18"/>
          <w:szCs w:val="18"/>
        </w:rPr>
      </w:pPr>
      <w:r w:rsidRPr="006A44E5">
        <w:rPr>
          <w:rFonts w:ascii="宋体" w:eastAsia="宋体" w:hAnsi="宋体" w:cs="宋体" w:hint="eastAsia"/>
          <w:color w:val="484848"/>
          <w:kern w:val="0"/>
          <w:sz w:val="18"/>
          <w:szCs w:val="18"/>
        </w:rPr>
        <w:t>分享到：</w:t>
      </w:r>
    </w:p>
    <w:p w14:paraId="3065E6F6" w14:textId="77777777" w:rsidR="006A44E5" w:rsidRPr="006A44E5" w:rsidRDefault="006A44E5" w:rsidP="006A44E5">
      <w:pPr>
        <w:widowControl/>
        <w:spacing w:line="450" w:lineRule="atLeast"/>
        <w:jc w:val="left"/>
        <w:rPr>
          <w:rFonts w:ascii="宋体" w:eastAsia="宋体" w:hAnsi="宋体" w:cs="宋体" w:hint="eastAsia"/>
          <w:color w:val="484848"/>
          <w:kern w:val="0"/>
          <w:sz w:val="18"/>
          <w:szCs w:val="18"/>
        </w:rPr>
      </w:pPr>
      <w:hyperlink r:id="rId5" w:tgtFrame="_blank" w:history="1">
        <w:r w:rsidRPr="006A44E5">
          <w:rPr>
            <w:rFonts w:ascii="Arial" w:eastAsia="宋体" w:hAnsi="Arial" w:cs="Arial"/>
            <w:b/>
            <w:bCs/>
            <w:color w:val="FF4901"/>
            <w:kern w:val="0"/>
            <w:sz w:val="24"/>
            <w:szCs w:val="24"/>
          </w:rPr>
          <w:t>8626</w:t>
        </w:r>
        <w:r w:rsidRPr="006A44E5">
          <w:rPr>
            <w:rFonts w:ascii="宋体" w:eastAsia="宋体" w:hAnsi="宋体" w:cs="宋体" w:hint="eastAsia"/>
            <w:color w:val="043396"/>
            <w:kern w:val="0"/>
            <w:sz w:val="18"/>
            <w:szCs w:val="18"/>
            <w:u w:val="single"/>
          </w:rPr>
          <w:t>人参与讨论</w:t>
        </w:r>
      </w:hyperlink>
      <w:hyperlink r:id="rId6" w:anchor="newsComment" w:tgtFrame="_self" w:history="1">
        <w:r w:rsidRPr="006A44E5">
          <w:rPr>
            <w:rFonts w:ascii="宋体" w:eastAsia="宋体" w:hAnsi="宋体" w:cs="宋体" w:hint="eastAsia"/>
            <w:color w:val="043396"/>
            <w:kern w:val="0"/>
            <w:sz w:val="18"/>
            <w:szCs w:val="18"/>
            <w:u w:val="single"/>
          </w:rPr>
          <w:t>我来说两句</w:t>
        </w:r>
      </w:hyperlink>
      <w:hyperlink r:id="rId7" w:tgtFrame="_self" w:history="1">
        <w:r w:rsidRPr="006A44E5">
          <w:rPr>
            <w:rFonts w:ascii="宋体" w:eastAsia="宋体" w:hAnsi="宋体" w:cs="宋体" w:hint="eastAsia"/>
            <w:color w:val="043396"/>
            <w:kern w:val="0"/>
            <w:sz w:val="18"/>
            <w:szCs w:val="18"/>
            <w:u w:val="single"/>
          </w:rPr>
          <w:t>碎片时间听资讯</w:t>
        </w:r>
      </w:hyperlink>
      <w:hyperlink r:id="rId8" w:tgtFrame="_blank" w:history="1">
        <w:r w:rsidRPr="006A44E5">
          <w:rPr>
            <w:rFonts w:ascii="宋体" w:eastAsia="宋体" w:hAnsi="宋体" w:cs="宋体" w:hint="eastAsia"/>
            <w:color w:val="043396"/>
            <w:kern w:val="0"/>
            <w:sz w:val="18"/>
            <w:szCs w:val="18"/>
            <w:u w:val="single"/>
          </w:rPr>
          <w:t>财富号入驻直达</w:t>
        </w:r>
      </w:hyperlink>
    </w:p>
    <w:p w14:paraId="505A3698" w14:textId="77777777" w:rsidR="006A44E5" w:rsidRPr="006A44E5" w:rsidRDefault="006A44E5" w:rsidP="006A44E5">
      <w:pPr>
        <w:widowControl/>
        <w:spacing w:before="180" w:after="180" w:line="420" w:lineRule="atLeast"/>
        <w:jc w:val="left"/>
        <w:rPr>
          <w:rFonts w:ascii="宋体" w:eastAsia="宋体" w:hAnsi="宋体" w:cs="宋体" w:hint="eastAsia"/>
          <w:color w:val="000000"/>
          <w:kern w:val="0"/>
          <w:szCs w:val="21"/>
        </w:rPr>
      </w:pPr>
      <w:r w:rsidRPr="006A44E5">
        <w:rPr>
          <w:rFonts w:ascii="宋体" w:eastAsia="宋体" w:hAnsi="宋体" w:cs="宋体" w:hint="eastAsia"/>
          <w:color w:val="000000"/>
          <w:kern w:val="0"/>
          <w:szCs w:val="21"/>
        </w:rPr>
        <w:t xml:space="preserve">　　</w:t>
      </w:r>
      <w:hyperlink r:id="rId9" w:tgtFrame="_blank" w:history="1">
        <w:r w:rsidRPr="006A44E5">
          <w:rPr>
            <w:rFonts w:ascii="宋体" w:eastAsia="宋体" w:hAnsi="宋体" w:cs="宋体" w:hint="eastAsia"/>
            <w:color w:val="043396"/>
            <w:kern w:val="0"/>
            <w:szCs w:val="21"/>
            <w:u w:val="single"/>
          </w:rPr>
          <w:t>把握节后投资机会，去东方财富APP查看更多热点资讯&gt;&gt;</w:t>
        </w:r>
      </w:hyperlink>
    </w:p>
    <w:p w14:paraId="2FED4D25" w14:textId="77777777" w:rsidR="006A44E5" w:rsidRPr="006A44E5" w:rsidRDefault="006A44E5" w:rsidP="006A44E5">
      <w:pPr>
        <w:widowControl/>
        <w:spacing w:before="180" w:after="180" w:line="420" w:lineRule="atLeast"/>
        <w:jc w:val="left"/>
        <w:rPr>
          <w:rFonts w:ascii="宋体" w:eastAsia="宋体" w:hAnsi="宋体" w:cs="宋体" w:hint="eastAsia"/>
          <w:color w:val="000000"/>
          <w:kern w:val="0"/>
          <w:szCs w:val="21"/>
        </w:rPr>
      </w:pPr>
      <w:r w:rsidRPr="006A44E5">
        <w:rPr>
          <w:rFonts w:ascii="宋体" w:eastAsia="宋体" w:hAnsi="宋体" w:cs="宋体" w:hint="eastAsia"/>
          <w:color w:val="000000"/>
          <w:kern w:val="0"/>
          <w:szCs w:val="21"/>
        </w:rPr>
        <w:t xml:space="preserve">　　《战国策》写道：“</w:t>
      </w:r>
      <w:r w:rsidRPr="006A44E5">
        <w:rPr>
          <w:rFonts w:ascii="宋体" w:eastAsia="宋体" w:hAnsi="宋体" w:cs="宋体" w:hint="eastAsia"/>
          <w:b/>
          <w:bCs/>
          <w:color w:val="000000"/>
          <w:kern w:val="0"/>
          <w:szCs w:val="21"/>
        </w:rPr>
        <w:t>日中则移，月满则亏，物盛则衰。</w:t>
      </w:r>
      <w:r w:rsidRPr="006A44E5">
        <w:rPr>
          <w:rFonts w:ascii="宋体" w:eastAsia="宋体" w:hAnsi="宋体" w:cs="宋体" w:hint="eastAsia"/>
          <w:color w:val="000000"/>
          <w:kern w:val="0"/>
          <w:szCs w:val="21"/>
        </w:rPr>
        <w:t>”2018年，离2008年全球金融危机已有十年。十年一轮朱格拉周期，美股历经史上最长牛市之后于今年10月份下跌开始已进入“技术型熊市”。</w:t>
      </w:r>
    </w:p>
    <w:p w14:paraId="3DB55BCF" w14:textId="77777777" w:rsidR="006A44E5" w:rsidRPr="006A44E5" w:rsidRDefault="006A44E5" w:rsidP="006A44E5">
      <w:pPr>
        <w:widowControl/>
        <w:spacing w:before="180" w:after="180" w:line="420" w:lineRule="atLeast"/>
        <w:jc w:val="left"/>
        <w:rPr>
          <w:rFonts w:ascii="宋体" w:eastAsia="宋体" w:hAnsi="宋体" w:cs="宋体" w:hint="eastAsia"/>
          <w:color w:val="000000"/>
          <w:kern w:val="0"/>
          <w:szCs w:val="21"/>
        </w:rPr>
      </w:pPr>
      <w:r w:rsidRPr="006A44E5">
        <w:rPr>
          <w:rFonts w:ascii="宋体" w:eastAsia="宋体" w:hAnsi="宋体" w:cs="宋体" w:hint="eastAsia"/>
          <w:color w:val="000000"/>
          <w:kern w:val="0"/>
          <w:szCs w:val="21"/>
        </w:rPr>
        <w:t xml:space="preserve">　　“8”这个在中国很吉祥的数字，却在近几十年来以“8”为尾数的年份前后，不断露出异常狰狞的面孔，让人不禁胆战心惊。</w:t>
      </w:r>
    </w:p>
    <w:p w14:paraId="718FE618" w14:textId="77777777" w:rsidR="006A44E5" w:rsidRPr="006A44E5" w:rsidRDefault="006A44E5" w:rsidP="006A44E5">
      <w:pPr>
        <w:widowControl/>
        <w:spacing w:before="180" w:after="180" w:line="420" w:lineRule="atLeast"/>
        <w:jc w:val="left"/>
        <w:rPr>
          <w:rFonts w:ascii="宋体" w:eastAsia="宋体" w:hAnsi="宋体" w:cs="宋体" w:hint="eastAsia"/>
          <w:color w:val="000000"/>
          <w:kern w:val="0"/>
          <w:szCs w:val="21"/>
        </w:rPr>
      </w:pPr>
      <w:r w:rsidRPr="006A44E5">
        <w:rPr>
          <w:rFonts w:ascii="宋体" w:eastAsia="宋体" w:hAnsi="宋体" w:cs="宋体" w:hint="eastAsia"/>
          <w:color w:val="000000"/>
          <w:kern w:val="0"/>
          <w:szCs w:val="21"/>
        </w:rPr>
        <w:t xml:space="preserve">　　1987年的美国股灾，1998年的亚洲金融危机，2008年的全球金融危机，到2018年的全球资产价格下行的市场危机。</w:t>
      </w:r>
      <w:r w:rsidRPr="006A44E5">
        <w:rPr>
          <w:rFonts w:ascii="宋体" w:eastAsia="宋体" w:hAnsi="宋体" w:cs="宋体" w:hint="eastAsia"/>
          <w:b/>
          <w:bCs/>
          <w:color w:val="000000"/>
          <w:kern w:val="0"/>
          <w:szCs w:val="21"/>
        </w:rPr>
        <w:t>每一次的危机到来之前，人们总是沉浸在虚假的非理性繁荣里，表达乐观的“这次不一样”的看法，殊不知历史总是惊人的相似。</w:t>
      </w:r>
    </w:p>
    <w:p w14:paraId="387B1504" w14:textId="77777777" w:rsidR="006A44E5" w:rsidRPr="006A44E5" w:rsidRDefault="006A44E5" w:rsidP="006A44E5">
      <w:pPr>
        <w:widowControl/>
        <w:spacing w:before="180" w:after="180" w:line="420" w:lineRule="atLeast"/>
        <w:jc w:val="left"/>
        <w:rPr>
          <w:rFonts w:ascii="宋体" w:eastAsia="宋体" w:hAnsi="宋体" w:cs="宋体" w:hint="eastAsia"/>
          <w:color w:val="000000"/>
          <w:kern w:val="0"/>
          <w:szCs w:val="21"/>
        </w:rPr>
      </w:pPr>
      <w:r w:rsidRPr="006A44E5">
        <w:rPr>
          <w:rFonts w:ascii="宋体" w:eastAsia="宋体" w:hAnsi="宋体" w:cs="宋体" w:hint="eastAsia"/>
          <w:color w:val="000000"/>
          <w:kern w:val="0"/>
          <w:szCs w:val="21"/>
        </w:rPr>
        <w:t xml:space="preserve">　　德意志银行报告统计，2018年前11个月全球有89%的资产负收益，为1901年有统计数据以来的历史之最，秒杀1929年大萧条时期(The Great Depression)。而最新的数据更为惊人，截至12月28日，以美元计价来看，今年累计负回报的资产占比已高达93%。</w:t>
      </w:r>
    </w:p>
    <w:p w14:paraId="64E1FC50" w14:textId="7362F851" w:rsidR="006A44E5" w:rsidRPr="006A44E5" w:rsidRDefault="006A44E5" w:rsidP="006A44E5">
      <w:pPr>
        <w:widowControl/>
        <w:spacing w:line="344" w:lineRule="atLeast"/>
        <w:jc w:val="center"/>
        <w:rPr>
          <w:rFonts w:ascii="宋体" w:eastAsia="宋体" w:hAnsi="宋体" w:cs="宋体" w:hint="eastAsia"/>
          <w:color w:val="484848"/>
          <w:kern w:val="0"/>
          <w:szCs w:val="21"/>
        </w:rPr>
      </w:pPr>
      <w:r w:rsidRPr="006A44E5">
        <w:rPr>
          <w:rFonts w:ascii="宋体" w:eastAsia="宋体" w:hAnsi="宋体" w:cs="宋体"/>
          <w:noProof/>
          <w:color w:val="484848"/>
          <w:kern w:val="0"/>
          <w:szCs w:val="21"/>
        </w:rPr>
        <w:lastRenderedPageBreak/>
        <w:drawing>
          <wp:inline distT="0" distB="0" distL="0" distR="0" wp14:anchorId="3C44C7DB" wp14:editId="0B37B68D">
            <wp:extent cx="5274310" cy="3406140"/>
            <wp:effectExtent l="0" t="0" r="254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406140"/>
                    </a:xfrm>
                    <a:prstGeom prst="rect">
                      <a:avLst/>
                    </a:prstGeom>
                    <a:noFill/>
                    <a:ln>
                      <a:noFill/>
                    </a:ln>
                  </pic:spPr>
                </pic:pic>
              </a:graphicData>
            </a:graphic>
          </wp:inline>
        </w:drawing>
      </w:r>
    </w:p>
    <w:p w14:paraId="4C997C4D" w14:textId="77777777" w:rsidR="006A44E5" w:rsidRPr="006A44E5" w:rsidRDefault="006A44E5" w:rsidP="006A44E5">
      <w:pPr>
        <w:widowControl/>
        <w:spacing w:before="180" w:after="180" w:line="420" w:lineRule="atLeast"/>
        <w:jc w:val="left"/>
        <w:rPr>
          <w:rFonts w:ascii="宋体" w:eastAsia="宋体" w:hAnsi="宋体" w:cs="宋体" w:hint="eastAsia"/>
          <w:color w:val="000000"/>
          <w:kern w:val="0"/>
          <w:szCs w:val="21"/>
        </w:rPr>
      </w:pPr>
      <w:r w:rsidRPr="006A44E5">
        <w:rPr>
          <w:rFonts w:ascii="宋体" w:eastAsia="宋体" w:hAnsi="宋体" w:cs="宋体" w:hint="eastAsia"/>
          <w:color w:val="000000"/>
          <w:kern w:val="0"/>
          <w:szCs w:val="21"/>
        </w:rPr>
        <w:t xml:space="preserve">　　全球市场资产价格下行带来的冲击，相信大家跟笔者一样，都能感同身受——投资界一级市场退出困难，资金回笼遥遥无期；二级市场各种</w:t>
      </w:r>
      <w:hyperlink r:id="rId11" w:tgtFrame="_blank" w:history="1">
        <w:r w:rsidRPr="006A44E5">
          <w:rPr>
            <w:rFonts w:ascii="宋体" w:eastAsia="宋体" w:hAnsi="宋体" w:cs="宋体" w:hint="eastAsia"/>
            <w:color w:val="043396"/>
            <w:kern w:val="0"/>
            <w:szCs w:val="21"/>
            <w:u w:val="single"/>
          </w:rPr>
          <w:t>基金</w:t>
        </w:r>
      </w:hyperlink>
      <w:r w:rsidRPr="006A44E5">
        <w:rPr>
          <w:rFonts w:ascii="宋体" w:eastAsia="宋体" w:hAnsi="宋体" w:cs="宋体" w:hint="eastAsia"/>
          <w:color w:val="000000"/>
          <w:kern w:val="0"/>
          <w:szCs w:val="21"/>
        </w:rPr>
        <w:t>踩雷爆仓，各类明星基金经理褪去光环。企业界各种</w:t>
      </w:r>
      <w:hyperlink r:id="rId12" w:tgtFrame="_blank" w:history="1">
        <w:r w:rsidRPr="006A44E5">
          <w:rPr>
            <w:rFonts w:ascii="宋体" w:eastAsia="宋体" w:hAnsi="宋体" w:cs="宋体" w:hint="eastAsia"/>
            <w:color w:val="043396"/>
            <w:kern w:val="0"/>
            <w:szCs w:val="21"/>
            <w:u w:val="single"/>
          </w:rPr>
          <w:t>资金流</w:t>
        </w:r>
      </w:hyperlink>
      <w:r w:rsidRPr="006A44E5">
        <w:rPr>
          <w:rFonts w:ascii="宋体" w:eastAsia="宋体" w:hAnsi="宋体" w:cs="宋体" w:hint="eastAsia"/>
          <w:color w:val="000000"/>
          <w:kern w:val="0"/>
          <w:szCs w:val="21"/>
        </w:rPr>
        <w:t>断裂、</w:t>
      </w:r>
      <w:hyperlink r:id="rId13" w:tgtFrame="_blank" w:history="1">
        <w:r w:rsidRPr="006A44E5">
          <w:rPr>
            <w:rFonts w:ascii="宋体" w:eastAsia="宋体" w:hAnsi="宋体" w:cs="宋体" w:hint="eastAsia"/>
            <w:color w:val="043396"/>
            <w:kern w:val="0"/>
            <w:szCs w:val="21"/>
            <w:u w:val="single"/>
          </w:rPr>
          <w:t>股权质押</w:t>
        </w:r>
      </w:hyperlink>
      <w:r w:rsidRPr="006A44E5">
        <w:rPr>
          <w:rFonts w:ascii="宋体" w:eastAsia="宋体" w:hAnsi="宋体" w:cs="宋体" w:hint="eastAsia"/>
          <w:color w:val="000000"/>
          <w:kern w:val="0"/>
          <w:szCs w:val="21"/>
        </w:rPr>
        <w:t>爆仓、上市公司</w:t>
      </w:r>
      <w:hyperlink r:id="rId14" w:tgtFrame="_blank" w:history="1">
        <w:r w:rsidRPr="006A44E5">
          <w:rPr>
            <w:rFonts w:ascii="宋体" w:eastAsia="宋体" w:hAnsi="宋体" w:cs="宋体" w:hint="eastAsia"/>
            <w:color w:val="043396"/>
            <w:kern w:val="0"/>
            <w:szCs w:val="21"/>
            <w:u w:val="single"/>
          </w:rPr>
          <w:t>高管</w:t>
        </w:r>
      </w:hyperlink>
      <w:r w:rsidRPr="006A44E5">
        <w:rPr>
          <w:rFonts w:ascii="宋体" w:eastAsia="宋体" w:hAnsi="宋体" w:cs="宋体" w:hint="eastAsia"/>
          <w:color w:val="000000"/>
          <w:kern w:val="0"/>
          <w:szCs w:val="21"/>
        </w:rPr>
        <w:t>辞职、民企引入国有资本入股等等。</w:t>
      </w:r>
    </w:p>
    <w:p w14:paraId="37427DC0" w14:textId="77777777" w:rsidR="006A44E5" w:rsidRPr="006A44E5" w:rsidRDefault="006A44E5" w:rsidP="006A44E5">
      <w:pPr>
        <w:widowControl/>
        <w:spacing w:before="180" w:after="180" w:line="420" w:lineRule="atLeast"/>
        <w:jc w:val="left"/>
        <w:rPr>
          <w:rFonts w:ascii="宋体" w:eastAsia="宋体" w:hAnsi="宋体" w:cs="宋体" w:hint="eastAsia"/>
          <w:color w:val="000000"/>
          <w:kern w:val="0"/>
          <w:szCs w:val="21"/>
        </w:rPr>
      </w:pPr>
      <w:r w:rsidRPr="006A44E5">
        <w:rPr>
          <w:rFonts w:ascii="宋体" w:eastAsia="宋体" w:hAnsi="宋体" w:cs="宋体" w:hint="eastAsia"/>
          <w:color w:val="000000"/>
          <w:kern w:val="0"/>
          <w:szCs w:val="21"/>
        </w:rPr>
        <w:t xml:space="preserve">　　而这一切的发生，似乎没有任何的征兆。2017年一切都在风平浪静中欣欣向荣，为何短短一年就能发生翻天覆地的变化？</w:t>
      </w:r>
    </w:p>
    <w:p w14:paraId="0CDEF82F" w14:textId="77777777" w:rsidR="006A44E5" w:rsidRPr="006A44E5" w:rsidRDefault="006A44E5" w:rsidP="006A44E5">
      <w:pPr>
        <w:widowControl/>
        <w:spacing w:before="180" w:after="180" w:line="420" w:lineRule="atLeast"/>
        <w:jc w:val="left"/>
        <w:rPr>
          <w:rFonts w:ascii="宋体" w:eastAsia="宋体" w:hAnsi="宋体" w:cs="宋体" w:hint="eastAsia"/>
          <w:color w:val="000000"/>
          <w:kern w:val="0"/>
          <w:szCs w:val="21"/>
        </w:rPr>
      </w:pPr>
      <w:r w:rsidRPr="006A44E5">
        <w:rPr>
          <w:rFonts w:ascii="宋体" w:eastAsia="宋体" w:hAnsi="宋体" w:cs="宋体" w:hint="eastAsia"/>
          <w:color w:val="000000"/>
          <w:kern w:val="0"/>
          <w:szCs w:val="21"/>
        </w:rPr>
        <w:t xml:space="preserve">　　花旗银行前CEO Chuck Prince在2007年7月告诉《金融时报》：“只要音乐还在响，我们就要起来跳舞……我们现在还在跳舞”。人们总是喜欢在音乐的高潮时纵情舞动，享受其带给自己肾上腺素激升时的喜悦。</w:t>
      </w:r>
    </w:p>
    <w:p w14:paraId="60E3D6D9" w14:textId="77777777" w:rsidR="006A44E5" w:rsidRPr="006A44E5" w:rsidRDefault="006A44E5" w:rsidP="006A44E5">
      <w:pPr>
        <w:widowControl/>
        <w:spacing w:before="180" w:after="180" w:line="420" w:lineRule="atLeast"/>
        <w:jc w:val="left"/>
        <w:rPr>
          <w:rFonts w:ascii="宋体" w:eastAsia="宋体" w:hAnsi="宋体" w:cs="宋体" w:hint="eastAsia"/>
          <w:color w:val="000000"/>
          <w:kern w:val="0"/>
          <w:szCs w:val="21"/>
        </w:rPr>
      </w:pPr>
      <w:r w:rsidRPr="006A44E5">
        <w:rPr>
          <w:rFonts w:ascii="宋体" w:eastAsia="宋体" w:hAnsi="宋体" w:cs="宋体" w:hint="eastAsia"/>
          <w:color w:val="000000"/>
          <w:kern w:val="0"/>
          <w:szCs w:val="21"/>
        </w:rPr>
        <w:t xml:space="preserve">　　但正如索罗斯所言：</w:t>
      </w:r>
      <w:r w:rsidRPr="006A44E5">
        <w:rPr>
          <w:rFonts w:ascii="宋体" w:eastAsia="宋体" w:hAnsi="宋体" w:cs="宋体" w:hint="eastAsia"/>
          <w:b/>
          <w:bCs/>
          <w:color w:val="000000"/>
          <w:kern w:val="0"/>
          <w:szCs w:val="21"/>
        </w:rPr>
        <w:t>“凡事总是盛极而衰，重要的是认清趋势转变，要点在于找出转折点”。</w:t>
      </w:r>
      <w:r w:rsidRPr="006A44E5">
        <w:rPr>
          <w:rFonts w:ascii="宋体" w:eastAsia="宋体" w:hAnsi="宋体" w:cs="宋体" w:hint="eastAsia"/>
          <w:color w:val="000000"/>
          <w:kern w:val="0"/>
          <w:szCs w:val="21"/>
        </w:rPr>
        <w:t>如何把握音乐的节点，洞悉尾声的到来，才能在音乐停止之后不至于手足无措地退出舞台。</w:t>
      </w:r>
    </w:p>
    <w:p w14:paraId="1FB63061" w14:textId="77777777" w:rsidR="006A44E5" w:rsidRPr="006A44E5" w:rsidRDefault="006A44E5" w:rsidP="006A44E5">
      <w:pPr>
        <w:widowControl/>
        <w:spacing w:before="180" w:after="180" w:line="420" w:lineRule="atLeast"/>
        <w:jc w:val="left"/>
        <w:rPr>
          <w:rFonts w:ascii="宋体" w:eastAsia="宋体" w:hAnsi="宋体" w:cs="宋体" w:hint="eastAsia"/>
          <w:color w:val="000000"/>
          <w:kern w:val="0"/>
          <w:szCs w:val="21"/>
        </w:rPr>
      </w:pPr>
      <w:r w:rsidRPr="006A44E5">
        <w:rPr>
          <w:rFonts w:ascii="宋体" w:eastAsia="宋体" w:hAnsi="宋体" w:cs="宋体" w:hint="eastAsia"/>
          <w:color w:val="000000"/>
          <w:kern w:val="0"/>
          <w:szCs w:val="21"/>
        </w:rPr>
        <w:t xml:space="preserve">　　</w:t>
      </w:r>
      <w:r w:rsidRPr="006A44E5">
        <w:rPr>
          <w:rFonts w:ascii="宋体" w:eastAsia="宋体" w:hAnsi="宋体" w:cs="宋体" w:hint="eastAsia"/>
          <w:b/>
          <w:bCs/>
          <w:color w:val="000000"/>
          <w:kern w:val="0"/>
          <w:szCs w:val="21"/>
        </w:rPr>
        <w:t>历史是一面镜子，可以看到多远的历史，就能看到多远的未来。</w:t>
      </w:r>
      <w:r w:rsidRPr="006A44E5">
        <w:rPr>
          <w:rFonts w:ascii="宋体" w:eastAsia="宋体" w:hAnsi="宋体" w:cs="宋体" w:hint="eastAsia"/>
          <w:color w:val="000000"/>
          <w:kern w:val="0"/>
          <w:szCs w:val="21"/>
        </w:rPr>
        <w:t>笔者拟复盘影响美股十年长牛的主要因素，并试图分析趋势由“高潮”转入“尾声”的转折点，以飨读者。</w:t>
      </w:r>
    </w:p>
    <w:p w14:paraId="2B6AC225" w14:textId="77777777" w:rsidR="006A44E5" w:rsidRPr="006A44E5" w:rsidRDefault="006A44E5" w:rsidP="006A44E5">
      <w:pPr>
        <w:widowControl/>
        <w:spacing w:before="180" w:after="180" w:line="420" w:lineRule="atLeast"/>
        <w:jc w:val="left"/>
        <w:rPr>
          <w:rFonts w:ascii="宋体" w:eastAsia="宋体" w:hAnsi="宋体" w:cs="宋体" w:hint="eastAsia"/>
          <w:color w:val="000000"/>
          <w:kern w:val="0"/>
          <w:szCs w:val="21"/>
        </w:rPr>
      </w:pPr>
      <w:r w:rsidRPr="006A44E5">
        <w:rPr>
          <w:rFonts w:ascii="宋体" w:eastAsia="宋体" w:hAnsi="宋体" w:cs="宋体" w:hint="eastAsia"/>
          <w:color w:val="000000"/>
          <w:kern w:val="0"/>
          <w:szCs w:val="21"/>
        </w:rPr>
        <w:t xml:space="preserve">　　不考虑</w:t>
      </w:r>
      <w:hyperlink r:id="rId15" w:tgtFrame="_blank" w:history="1">
        <w:r w:rsidRPr="006A44E5">
          <w:rPr>
            <w:rFonts w:ascii="宋体" w:eastAsia="宋体" w:hAnsi="宋体" w:cs="宋体" w:hint="eastAsia"/>
            <w:color w:val="043396"/>
            <w:kern w:val="0"/>
            <w:szCs w:val="21"/>
            <w:u w:val="single"/>
          </w:rPr>
          <w:t>新股</w:t>
        </w:r>
      </w:hyperlink>
      <w:r w:rsidRPr="006A44E5">
        <w:rPr>
          <w:rFonts w:ascii="宋体" w:eastAsia="宋体" w:hAnsi="宋体" w:cs="宋体" w:hint="eastAsia"/>
          <w:color w:val="000000"/>
          <w:kern w:val="0"/>
          <w:szCs w:val="21"/>
        </w:rPr>
        <w:t>和退市股的情况下，市值=估值*盈利水平，估值的影响因素里笔者拟分析金融监管和</w:t>
      </w:r>
      <w:hyperlink r:id="rId16" w:tgtFrame="_blank" w:history="1">
        <w:r w:rsidRPr="006A44E5">
          <w:rPr>
            <w:rFonts w:ascii="宋体" w:eastAsia="宋体" w:hAnsi="宋体" w:cs="宋体" w:hint="eastAsia"/>
            <w:color w:val="043396"/>
            <w:kern w:val="0"/>
            <w:szCs w:val="21"/>
            <w:u w:val="single"/>
          </w:rPr>
          <w:t>货币</w:t>
        </w:r>
      </w:hyperlink>
      <w:r w:rsidRPr="006A44E5">
        <w:rPr>
          <w:rFonts w:ascii="宋体" w:eastAsia="宋体" w:hAnsi="宋体" w:cs="宋体" w:hint="eastAsia"/>
          <w:color w:val="000000"/>
          <w:kern w:val="0"/>
          <w:szCs w:val="21"/>
        </w:rPr>
        <w:t>政策，盈利水平的影响因素里笔者拟分析宏观经济和企业发展。</w:t>
      </w:r>
    </w:p>
    <w:p w14:paraId="39A6D52A" w14:textId="77777777" w:rsidR="006A44E5" w:rsidRPr="006A44E5" w:rsidRDefault="006A44E5" w:rsidP="006A44E5">
      <w:pPr>
        <w:widowControl/>
        <w:spacing w:before="180" w:after="180" w:line="420" w:lineRule="atLeast"/>
        <w:jc w:val="left"/>
        <w:rPr>
          <w:rFonts w:ascii="宋体" w:eastAsia="宋体" w:hAnsi="宋体" w:cs="宋体" w:hint="eastAsia"/>
          <w:color w:val="000000"/>
          <w:kern w:val="0"/>
          <w:szCs w:val="21"/>
        </w:rPr>
      </w:pPr>
      <w:r w:rsidRPr="006A44E5">
        <w:rPr>
          <w:rFonts w:ascii="宋体" w:eastAsia="宋体" w:hAnsi="宋体" w:cs="宋体" w:hint="eastAsia"/>
          <w:color w:val="000000"/>
          <w:kern w:val="0"/>
          <w:szCs w:val="21"/>
        </w:rPr>
        <w:t xml:space="preserve">　　</w:t>
      </w:r>
      <w:r w:rsidRPr="006A44E5">
        <w:rPr>
          <w:rFonts w:ascii="宋体" w:eastAsia="宋体" w:hAnsi="宋体" w:cs="宋体" w:hint="eastAsia"/>
          <w:b/>
          <w:bCs/>
          <w:color w:val="000000"/>
          <w:kern w:val="0"/>
          <w:szCs w:val="21"/>
        </w:rPr>
        <w:t>【1】金融监管</w:t>
      </w:r>
    </w:p>
    <w:p w14:paraId="504C9049" w14:textId="77777777" w:rsidR="006A44E5" w:rsidRPr="006A44E5" w:rsidRDefault="006A44E5" w:rsidP="006A44E5">
      <w:pPr>
        <w:widowControl/>
        <w:spacing w:before="180" w:after="180" w:line="420" w:lineRule="atLeast"/>
        <w:jc w:val="left"/>
        <w:rPr>
          <w:rFonts w:ascii="宋体" w:eastAsia="宋体" w:hAnsi="宋体" w:cs="宋体" w:hint="eastAsia"/>
          <w:color w:val="000000"/>
          <w:kern w:val="0"/>
          <w:szCs w:val="21"/>
        </w:rPr>
      </w:pPr>
      <w:r w:rsidRPr="006A44E5">
        <w:rPr>
          <w:rFonts w:ascii="宋体" w:eastAsia="宋体" w:hAnsi="宋体" w:cs="宋体" w:hint="eastAsia"/>
          <w:color w:val="000000"/>
          <w:kern w:val="0"/>
          <w:szCs w:val="21"/>
        </w:rPr>
        <w:t xml:space="preserve">　　2008年9月15日，百年投行雷曼兄弟宣布破产，继而引起波及全球的金融海啸——楼市重挫、股市暴跌、金融机构破产，一系列的危机给一直蓬勃发展的世界经济以沉重的打击。</w:t>
      </w:r>
    </w:p>
    <w:p w14:paraId="24482D2B" w14:textId="77777777" w:rsidR="006A44E5" w:rsidRPr="006A44E5" w:rsidRDefault="006A44E5" w:rsidP="006A44E5">
      <w:pPr>
        <w:widowControl/>
        <w:spacing w:before="180" w:after="180" w:line="420" w:lineRule="atLeast"/>
        <w:jc w:val="left"/>
        <w:rPr>
          <w:rFonts w:ascii="宋体" w:eastAsia="宋体" w:hAnsi="宋体" w:cs="宋体" w:hint="eastAsia"/>
          <w:color w:val="000000"/>
          <w:kern w:val="0"/>
          <w:szCs w:val="21"/>
        </w:rPr>
      </w:pPr>
      <w:r w:rsidRPr="006A44E5">
        <w:rPr>
          <w:rFonts w:ascii="宋体" w:eastAsia="宋体" w:hAnsi="宋体" w:cs="宋体" w:hint="eastAsia"/>
          <w:color w:val="000000"/>
          <w:kern w:val="0"/>
          <w:szCs w:val="21"/>
        </w:rPr>
        <w:t xml:space="preserve">　　此次危机是一场由次贷债务和房市泡沫引发的席卷全球的经济危机，也是1930年代“大萧条”(The Great Depression)之后出现的规模最大的一次“大衰退”(The Great Recession)。</w:t>
      </w:r>
    </w:p>
    <w:p w14:paraId="7FF98CA1" w14:textId="77777777" w:rsidR="006A44E5" w:rsidRPr="006A44E5" w:rsidRDefault="006A44E5" w:rsidP="006A44E5">
      <w:pPr>
        <w:widowControl/>
        <w:spacing w:before="180" w:after="180" w:line="420" w:lineRule="atLeast"/>
        <w:jc w:val="left"/>
        <w:rPr>
          <w:rFonts w:ascii="宋体" w:eastAsia="宋体" w:hAnsi="宋体" w:cs="宋体" w:hint="eastAsia"/>
          <w:color w:val="000000"/>
          <w:kern w:val="0"/>
          <w:szCs w:val="21"/>
        </w:rPr>
      </w:pPr>
      <w:r w:rsidRPr="006A44E5">
        <w:rPr>
          <w:rFonts w:ascii="宋体" w:eastAsia="宋体" w:hAnsi="宋体" w:cs="宋体" w:hint="eastAsia"/>
          <w:color w:val="000000"/>
          <w:kern w:val="0"/>
          <w:szCs w:val="21"/>
        </w:rPr>
        <w:t xml:space="preserve">　　2008年之前，美国长期以来奉行“弗里德曼学派”自由主义经济学，信任市场上“看不见的手”会自动修正市场的差错，反对以金融政策作为需求管理的手段，并且主张政府在经济上扮演的角色应该被严格限制。</w:t>
      </w:r>
    </w:p>
    <w:p w14:paraId="2394FDAB" w14:textId="77777777" w:rsidR="006A44E5" w:rsidRPr="006A44E5" w:rsidRDefault="006A44E5" w:rsidP="006A44E5">
      <w:pPr>
        <w:widowControl/>
        <w:spacing w:before="180" w:after="180" w:line="420" w:lineRule="atLeast"/>
        <w:jc w:val="left"/>
        <w:rPr>
          <w:rFonts w:ascii="宋体" w:eastAsia="宋体" w:hAnsi="宋体" w:cs="宋体" w:hint="eastAsia"/>
          <w:color w:val="000000"/>
          <w:kern w:val="0"/>
          <w:szCs w:val="21"/>
        </w:rPr>
      </w:pPr>
      <w:r w:rsidRPr="006A44E5">
        <w:rPr>
          <w:rFonts w:ascii="宋体" w:eastAsia="宋体" w:hAnsi="宋体" w:cs="宋体" w:hint="eastAsia"/>
          <w:color w:val="000000"/>
          <w:kern w:val="0"/>
          <w:szCs w:val="21"/>
        </w:rPr>
        <w:t xml:space="preserve">　　政策的监管放松，自然会催生华尔街“魔术师”内心财富寄生虫的无限繁殖，对金融风险的“负外部效应”置之不理，使得CDS、CDO、MBS、ABS等高风险金融衍生品泛滥成灾，最终当“</w:t>
      </w:r>
      <w:hyperlink r:id="rId17" w:tgtFrame="_blank" w:history="1">
        <w:r w:rsidRPr="006A44E5">
          <w:rPr>
            <w:rFonts w:ascii="宋体" w:eastAsia="宋体" w:hAnsi="宋体" w:cs="宋体" w:hint="eastAsia"/>
            <w:color w:val="043396"/>
            <w:kern w:val="0"/>
            <w:szCs w:val="21"/>
            <w:u w:val="single"/>
          </w:rPr>
          <w:t>房价</w:t>
        </w:r>
      </w:hyperlink>
      <w:r w:rsidRPr="006A44E5">
        <w:rPr>
          <w:rFonts w:ascii="宋体" w:eastAsia="宋体" w:hAnsi="宋体" w:cs="宋体" w:hint="eastAsia"/>
          <w:color w:val="000000"/>
          <w:kern w:val="0"/>
          <w:szCs w:val="21"/>
        </w:rPr>
        <w:t>永远会上涨”的美梦破灭时，这些衍生品如同核武器一般对金融市场造成了巨大的危害。</w:t>
      </w:r>
    </w:p>
    <w:p w14:paraId="25D4424B" w14:textId="77777777" w:rsidR="006A44E5" w:rsidRPr="006A44E5" w:rsidRDefault="006A44E5" w:rsidP="006A44E5">
      <w:pPr>
        <w:widowControl/>
        <w:spacing w:before="180" w:after="180" w:line="420" w:lineRule="atLeast"/>
        <w:jc w:val="left"/>
        <w:rPr>
          <w:rFonts w:ascii="宋体" w:eastAsia="宋体" w:hAnsi="宋体" w:cs="宋体" w:hint="eastAsia"/>
          <w:color w:val="000000"/>
          <w:kern w:val="0"/>
          <w:szCs w:val="21"/>
        </w:rPr>
      </w:pPr>
      <w:r w:rsidRPr="006A44E5">
        <w:rPr>
          <w:rFonts w:ascii="宋体" w:eastAsia="宋体" w:hAnsi="宋体" w:cs="宋体" w:hint="eastAsia"/>
          <w:color w:val="000000"/>
          <w:kern w:val="0"/>
          <w:szCs w:val="21"/>
        </w:rPr>
        <w:t xml:space="preserve">　　2009年6月17日，奥巴马兑现竞选时对华尔街严厉监管的承诺，公布了史上最全面和严厉的《多德-弗兰克法案》，并于2010年7月15日正式实施。该法案核心内容有：</w:t>
      </w:r>
    </w:p>
    <w:p w14:paraId="5B00016C" w14:textId="77777777" w:rsidR="006A44E5" w:rsidRPr="006A44E5" w:rsidRDefault="006A44E5" w:rsidP="006A44E5">
      <w:pPr>
        <w:widowControl/>
        <w:spacing w:before="180" w:after="180" w:line="420" w:lineRule="atLeast"/>
        <w:jc w:val="left"/>
        <w:rPr>
          <w:rFonts w:ascii="宋体" w:eastAsia="宋体" w:hAnsi="宋体" w:cs="宋体" w:hint="eastAsia"/>
          <w:color w:val="000000"/>
          <w:kern w:val="0"/>
          <w:szCs w:val="21"/>
        </w:rPr>
      </w:pPr>
      <w:r w:rsidRPr="006A44E5">
        <w:rPr>
          <w:rFonts w:ascii="宋体" w:eastAsia="宋体" w:hAnsi="宋体" w:cs="宋体" w:hint="eastAsia"/>
          <w:color w:val="000000"/>
          <w:kern w:val="0"/>
          <w:szCs w:val="21"/>
        </w:rPr>
        <w:t xml:space="preserve">　　一，采纳“沃克尔规则” ，禁止商业银行从事高风险的自营交易和拥有对冲基金和私人股权基金，限制衍生品交易，严控金融机构规模；二，成立金融稳定监管委员会(FSOC)和政府问责办公室(GAO)，扩大监管机构的权力，允许分拆 “大到不能倒”(Too big to fall)的金融机构，禁止税金救市；三，设立消费者金融保护局(CFPB)，负责监管按揭贷款、信用卡等个人金融产品，全面保护消费者合法权益。</w:t>
      </w:r>
    </w:p>
    <w:p w14:paraId="2A4385B2" w14:textId="77777777" w:rsidR="006A44E5" w:rsidRPr="006A44E5" w:rsidRDefault="006A44E5" w:rsidP="006A44E5">
      <w:pPr>
        <w:widowControl/>
        <w:spacing w:before="180" w:after="180" w:line="420" w:lineRule="atLeast"/>
        <w:jc w:val="left"/>
        <w:rPr>
          <w:rFonts w:ascii="宋体" w:eastAsia="宋体" w:hAnsi="宋体" w:cs="宋体" w:hint="eastAsia"/>
          <w:color w:val="000000"/>
          <w:kern w:val="0"/>
          <w:szCs w:val="21"/>
        </w:rPr>
      </w:pPr>
      <w:r w:rsidRPr="006A44E5">
        <w:rPr>
          <w:rFonts w:ascii="宋体" w:eastAsia="宋体" w:hAnsi="宋体" w:cs="宋体" w:hint="eastAsia"/>
          <w:color w:val="000000"/>
          <w:kern w:val="0"/>
          <w:szCs w:val="21"/>
        </w:rPr>
        <w:t xml:space="preserve">　　可以看出，法案不仅增强金融体系的强度和弹性，而且制定并应用广泛的框架去持续监测金融稳定性。规范的监管体制，让美国金融机构整个机器运行起来更加的合理，大大降低了系统性风险发生的可能性。</w:t>
      </w:r>
    </w:p>
    <w:p w14:paraId="7B6CC1FF" w14:textId="77777777" w:rsidR="006A44E5" w:rsidRPr="006A44E5" w:rsidRDefault="006A44E5" w:rsidP="006A44E5">
      <w:pPr>
        <w:widowControl/>
        <w:spacing w:before="180" w:after="180" w:line="420" w:lineRule="atLeast"/>
        <w:jc w:val="left"/>
        <w:rPr>
          <w:rFonts w:ascii="宋体" w:eastAsia="宋体" w:hAnsi="宋体" w:cs="宋体" w:hint="eastAsia"/>
          <w:color w:val="000000"/>
          <w:kern w:val="0"/>
          <w:szCs w:val="21"/>
        </w:rPr>
      </w:pPr>
      <w:r w:rsidRPr="006A44E5">
        <w:rPr>
          <w:rFonts w:ascii="宋体" w:eastAsia="宋体" w:hAnsi="宋体" w:cs="宋体" w:hint="eastAsia"/>
          <w:color w:val="000000"/>
          <w:kern w:val="0"/>
          <w:szCs w:val="21"/>
        </w:rPr>
        <w:t xml:space="preserve">　　银行是金融体系的基石，法案的实施让银行拥有比危机发生之前更高质量的资本结构。</w:t>
      </w:r>
    </w:p>
    <w:p w14:paraId="165B46A8" w14:textId="2C7138C4" w:rsidR="006A44E5" w:rsidRPr="006A44E5" w:rsidRDefault="006A44E5" w:rsidP="006A44E5">
      <w:pPr>
        <w:widowControl/>
        <w:spacing w:line="344" w:lineRule="atLeast"/>
        <w:jc w:val="center"/>
        <w:rPr>
          <w:rFonts w:ascii="宋体" w:eastAsia="宋体" w:hAnsi="宋体" w:cs="宋体" w:hint="eastAsia"/>
          <w:color w:val="484848"/>
          <w:kern w:val="0"/>
          <w:szCs w:val="21"/>
        </w:rPr>
      </w:pPr>
      <w:r w:rsidRPr="006A44E5">
        <w:rPr>
          <w:rFonts w:ascii="宋体" w:eastAsia="宋体" w:hAnsi="宋体" w:cs="宋体"/>
          <w:noProof/>
          <w:color w:val="484848"/>
          <w:kern w:val="0"/>
          <w:szCs w:val="21"/>
        </w:rPr>
        <w:drawing>
          <wp:inline distT="0" distB="0" distL="0" distR="0" wp14:anchorId="35B3ED42" wp14:editId="5279F9CE">
            <wp:extent cx="5274310" cy="3347720"/>
            <wp:effectExtent l="0" t="0" r="254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347720"/>
                    </a:xfrm>
                    <a:prstGeom prst="rect">
                      <a:avLst/>
                    </a:prstGeom>
                    <a:noFill/>
                    <a:ln>
                      <a:noFill/>
                    </a:ln>
                  </pic:spPr>
                </pic:pic>
              </a:graphicData>
            </a:graphic>
          </wp:inline>
        </w:drawing>
      </w:r>
    </w:p>
    <w:p w14:paraId="46B2479D" w14:textId="77777777" w:rsidR="006A44E5" w:rsidRPr="006A44E5" w:rsidRDefault="006A44E5" w:rsidP="006A44E5">
      <w:pPr>
        <w:widowControl/>
        <w:spacing w:before="180" w:after="180" w:line="420" w:lineRule="atLeast"/>
        <w:jc w:val="left"/>
        <w:rPr>
          <w:rFonts w:ascii="宋体" w:eastAsia="宋体" w:hAnsi="宋体" w:cs="宋体" w:hint="eastAsia"/>
          <w:color w:val="000000"/>
          <w:kern w:val="0"/>
          <w:szCs w:val="21"/>
        </w:rPr>
      </w:pPr>
      <w:r w:rsidRPr="006A44E5">
        <w:rPr>
          <w:rFonts w:ascii="宋体" w:eastAsia="宋体" w:hAnsi="宋体" w:cs="宋体" w:hint="eastAsia"/>
          <w:color w:val="000000"/>
          <w:kern w:val="0"/>
          <w:szCs w:val="21"/>
        </w:rPr>
        <w:t xml:space="preserve">　　并且，压力测试表明，最大银行的资本水平远高于监管最低标准，并高于银行在危机前的良好时期所有的水平。大多数具有系统重要性的金融机构，高质量流动资产(即短期可出售安全资产)占比约20%，约为危机前水平的四倍。</w:t>
      </w:r>
    </w:p>
    <w:p w14:paraId="40722ECC" w14:textId="43D2F379" w:rsidR="006A44E5" w:rsidRPr="006A44E5" w:rsidRDefault="006A44E5" w:rsidP="006A44E5">
      <w:pPr>
        <w:widowControl/>
        <w:spacing w:line="344" w:lineRule="atLeast"/>
        <w:jc w:val="center"/>
        <w:rPr>
          <w:rFonts w:ascii="宋体" w:eastAsia="宋体" w:hAnsi="宋体" w:cs="宋体" w:hint="eastAsia"/>
          <w:color w:val="484848"/>
          <w:kern w:val="0"/>
          <w:szCs w:val="21"/>
        </w:rPr>
      </w:pPr>
      <w:r w:rsidRPr="006A44E5">
        <w:rPr>
          <w:rFonts w:ascii="宋体" w:eastAsia="宋体" w:hAnsi="宋体" w:cs="宋体"/>
          <w:noProof/>
          <w:color w:val="484848"/>
          <w:kern w:val="0"/>
          <w:szCs w:val="21"/>
        </w:rPr>
        <w:drawing>
          <wp:inline distT="0" distB="0" distL="0" distR="0" wp14:anchorId="52A1C881" wp14:editId="61C453E2">
            <wp:extent cx="5274310" cy="3406140"/>
            <wp:effectExtent l="0" t="0" r="254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3406140"/>
                    </a:xfrm>
                    <a:prstGeom prst="rect">
                      <a:avLst/>
                    </a:prstGeom>
                    <a:noFill/>
                    <a:ln>
                      <a:noFill/>
                    </a:ln>
                  </pic:spPr>
                </pic:pic>
              </a:graphicData>
            </a:graphic>
          </wp:inline>
        </w:drawing>
      </w:r>
    </w:p>
    <w:p w14:paraId="777A1D00" w14:textId="77777777" w:rsidR="006A44E5" w:rsidRPr="006A44E5" w:rsidRDefault="006A44E5" w:rsidP="006A44E5">
      <w:pPr>
        <w:widowControl/>
        <w:spacing w:before="180" w:after="180" w:line="420" w:lineRule="atLeast"/>
        <w:jc w:val="left"/>
        <w:rPr>
          <w:rFonts w:ascii="宋体" w:eastAsia="宋体" w:hAnsi="宋体" w:cs="宋体" w:hint="eastAsia"/>
          <w:color w:val="000000"/>
          <w:kern w:val="0"/>
          <w:szCs w:val="21"/>
        </w:rPr>
      </w:pPr>
      <w:r w:rsidRPr="006A44E5">
        <w:rPr>
          <w:rFonts w:ascii="宋体" w:eastAsia="宋体" w:hAnsi="宋体" w:cs="宋体" w:hint="eastAsia"/>
          <w:color w:val="000000"/>
          <w:kern w:val="0"/>
          <w:szCs w:val="21"/>
        </w:rPr>
        <w:t xml:space="preserve">　　</w:t>
      </w:r>
      <w:r w:rsidRPr="006A44E5">
        <w:rPr>
          <w:rFonts w:ascii="宋体" w:eastAsia="宋体" w:hAnsi="宋体" w:cs="宋体" w:hint="eastAsia"/>
          <w:b/>
          <w:bCs/>
          <w:color w:val="000000"/>
          <w:kern w:val="0"/>
          <w:szCs w:val="21"/>
        </w:rPr>
        <w:t>金融风险的整体可控，说明发生系统性风险事件的概率会降低。一方面可以更好地为实体经济服务，另一方面可以增强投资者的信心。</w:t>
      </w:r>
    </w:p>
    <w:p w14:paraId="22B7817D" w14:textId="77777777" w:rsidR="006A44E5" w:rsidRPr="006A44E5" w:rsidRDefault="006A44E5" w:rsidP="006A44E5">
      <w:pPr>
        <w:widowControl/>
        <w:spacing w:before="180" w:after="180" w:line="420" w:lineRule="atLeast"/>
        <w:jc w:val="left"/>
        <w:rPr>
          <w:rFonts w:ascii="宋体" w:eastAsia="宋体" w:hAnsi="宋体" w:cs="宋体" w:hint="eastAsia"/>
          <w:color w:val="000000"/>
          <w:kern w:val="0"/>
          <w:szCs w:val="21"/>
        </w:rPr>
      </w:pPr>
      <w:r w:rsidRPr="006A44E5">
        <w:rPr>
          <w:rFonts w:ascii="宋体" w:eastAsia="宋体" w:hAnsi="宋体" w:cs="宋体" w:hint="eastAsia"/>
          <w:color w:val="000000"/>
          <w:kern w:val="0"/>
          <w:szCs w:val="21"/>
        </w:rPr>
        <w:t xml:space="preserve">　　</w:t>
      </w:r>
      <w:r w:rsidRPr="006A44E5">
        <w:rPr>
          <w:rFonts w:ascii="宋体" w:eastAsia="宋体" w:hAnsi="宋体" w:cs="宋体" w:hint="eastAsia"/>
          <w:b/>
          <w:bCs/>
          <w:color w:val="000000"/>
          <w:kern w:val="0"/>
          <w:szCs w:val="21"/>
        </w:rPr>
        <w:t>【2】货币政策</w:t>
      </w:r>
    </w:p>
    <w:p w14:paraId="74EF4EE1" w14:textId="77777777" w:rsidR="006A44E5" w:rsidRPr="006A44E5" w:rsidRDefault="006A44E5" w:rsidP="006A44E5">
      <w:pPr>
        <w:widowControl/>
        <w:spacing w:before="180" w:after="180" w:line="420" w:lineRule="atLeast"/>
        <w:jc w:val="left"/>
        <w:rPr>
          <w:rFonts w:ascii="宋体" w:eastAsia="宋体" w:hAnsi="宋体" w:cs="宋体" w:hint="eastAsia"/>
          <w:color w:val="000000"/>
          <w:kern w:val="0"/>
          <w:szCs w:val="21"/>
        </w:rPr>
      </w:pPr>
      <w:r w:rsidRPr="006A44E5">
        <w:rPr>
          <w:rFonts w:ascii="宋体" w:eastAsia="宋体" w:hAnsi="宋体" w:cs="宋体" w:hint="eastAsia"/>
          <w:color w:val="000000"/>
          <w:kern w:val="0"/>
          <w:szCs w:val="21"/>
        </w:rPr>
        <w:t xml:space="preserve">　　金融危机爆发后，为了应对危机，美联储开启了量化宽松的货币政策。我们看下三轮量化宽松政策的时间线——</w:t>
      </w:r>
    </w:p>
    <w:p w14:paraId="1BB20FF7" w14:textId="77777777" w:rsidR="006A44E5" w:rsidRPr="006A44E5" w:rsidRDefault="006A44E5" w:rsidP="006A44E5">
      <w:pPr>
        <w:widowControl/>
        <w:spacing w:before="180" w:after="180" w:line="420" w:lineRule="atLeast"/>
        <w:jc w:val="left"/>
        <w:rPr>
          <w:rFonts w:ascii="宋体" w:eastAsia="宋体" w:hAnsi="宋体" w:cs="宋体" w:hint="eastAsia"/>
          <w:color w:val="000000"/>
          <w:kern w:val="0"/>
          <w:szCs w:val="21"/>
        </w:rPr>
      </w:pPr>
      <w:r w:rsidRPr="006A44E5">
        <w:rPr>
          <w:rFonts w:ascii="宋体" w:eastAsia="宋体" w:hAnsi="宋体" w:cs="宋体" w:hint="eastAsia"/>
          <w:color w:val="000000"/>
          <w:kern w:val="0"/>
          <w:szCs w:val="21"/>
        </w:rPr>
        <w:t xml:space="preserve">　　</w:t>
      </w:r>
      <w:r w:rsidRPr="006A44E5">
        <w:rPr>
          <w:rFonts w:ascii="宋体" w:eastAsia="宋体" w:hAnsi="宋体" w:cs="宋体" w:hint="eastAsia"/>
          <w:b/>
          <w:bCs/>
          <w:color w:val="000000"/>
          <w:kern w:val="0"/>
          <w:szCs w:val="21"/>
        </w:rPr>
        <w:t>QE1</w:t>
      </w:r>
    </w:p>
    <w:p w14:paraId="191B44E2" w14:textId="77777777" w:rsidR="006A44E5" w:rsidRPr="006A44E5" w:rsidRDefault="006A44E5" w:rsidP="006A44E5">
      <w:pPr>
        <w:widowControl/>
        <w:spacing w:before="180" w:after="180" w:line="420" w:lineRule="atLeast"/>
        <w:jc w:val="left"/>
        <w:rPr>
          <w:rFonts w:ascii="宋体" w:eastAsia="宋体" w:hAnsi="宋体" w:cs="宋体" w:hint="eastAsia"/>
          <w:color w:val="000000"/>
          <w:kern w:val="0"/>
          <w:szCs w:val="21"/>
        </w:rPr>
      </w:pPr>
      <w:r w:rsidRPr="006A44E5">
        <w:rPr>
          <w:rFonts w:ascii="宋体" w:eastAsia="宋体" w:hAnsi="宋体" w:cs="宋体" w:hint="eastAsia"/>
          <w:color w:val="000000"/>
          <w:kern w:val="0"/>
          <w:szCs w:val="21"/>
        </w:rPr>
        <w:t xml:space="preserve">　　启动：2008年11月25日，美联储宣布将从房利美和房地美以及联邦住房贷款银行购买1000亿美元的直接债务和5000亿美元的抵押贷款支持证券。</w:t>
      </w:r>
    </w:p>
    <w:p w14:paraId="462E56E3" w14:textId="77777777" w:rsidR="006A44E5" w:rsidRPr="006A44E5" w:rsidRDefault="006A44E5" w:rsidP="006A44E5">
      <w:pPr>
        <w:widowControl/>
        <w:spacing w:before="180" w:after="180" w:line="420" w:lineRule="atLeast"/>
        <w:jc w:val="left"/>
        <w:rPr>
          <w:rFonts w:ascii="宋体" w:eastAsia="宋体" w:hAnsi="宋体" w:cs="宋体" w:hint="eastAsia"/>
          <w:color w:val="000000"/>
          <w:kern w:val="0"/>
          <w:szCs w:val="21"/>
        </w:rPr>
      </w:pPr>
      <w:r w:rsidRPr="006A44E5">
        <w:rPr>
          <w:rFonts w:ascii="宋体" w:eastAsia="宋体" w:hAnsi="宋体" w:cs="宋体" w:hint="eastAsia"/>
          <w:color w:val="000000"/>
          <w:kern w:val="0"/>
          <w:szCs w:val="21"/>
        </w:rPr>
        <w:t xml:space="preserve">　　扩大：2009年3月18日，美联储宣布再购买7500亿美元的抵押贷款支持证券、1000亿美元的机构债、3000亿美元的长期国债。</w:t>
      </w:r>
    </w:p>
    <w:p w14:paraId="7AC8128F" w14:textId="77777777" w:rsidR="006A44E5" w:rsidRPr="006A44E5" w:rsidRDefault="006A44E5" w:rsidP="006A44E5">
      <w:pPr>
        <w:widowControl/>
        <w:spacing w:before="180" w:after="180" w:line="420" w:lineRule="atLeast"/>
        <w:jc w:val="left"/>
        <w:rPr>
          <w:rFonts w:ascii="宋体" w:eastAsia="宋体" w:hAnsi="宋体" w:cs="宋体" w:hint="eastAsia"/>
          <w:color w:val="000000"/>
          <w:kern w:val="0"/>
          <w:szCs w:val="21"/>
        </w:rPr>
      </w:pPr>
      <w:r w:rsidRPr="006A44E5">
        <w:rPr>
          <w:rFonts w:ascii="宋体" w:eastAsia="宋体" w:hAnsi="宋体" w:cs="宋体" w:hint="eastAsia"/>
          <w:color w:val="000000"/>
          <w:kern w:val="0"/>
          <w:szCs w:val="21"/>
        </w:rPr>
        <w:t xml:space="preserve">　　结束：2010年3月16日，美联储宣布购买工作完成，</w:t>
      </w:r>
      <w:r w:rsidRPr="006A44E5">
        <w:rPr>
          <w:rFonts w:ascii="宋体" w:eastAsia="宋体" w:hAnsi="宋体" w:cs="宋体" w:hint="eastAsia"/>
          <w:b/>
          <w:bCs/>
          <w:color w:val="000000"/>
          <w:kern w:val="0"/>
          <w:szCs w:val="21"/>
        </w:rPr>
        <w:t>共为金融系统和市场注入了1.725万亿美元流动性。</w:t>
      </w:r>
    </w:p>
    <w:p w14:paraId="687CFED1" w14:textId="77777777" w:rsidR="006A44E5" w:rsidRPr="006A44E5" w:rsidRDefault="006A44E5" w:rsidP="006A44E5">
      <w:pPr>
        <w:widowControl/>
        <w:spacing w:before="180" w:after="180" w:line="420" w:lineRule="atLeast"/>
        <w:jc w:val="left"/>
        <w:rPr>
          <w:rFonts w:ascii="宋体" w:eastAsia="宋体" w:hAnsi="宋体" w:cs="宋体" w:hint="eastAsia"/>
          <w:color w:val="000000"/>
          <w:kern w:val="0"/>
          <w:szCs w:val="21"/>
        </w:rPr>
      </w:pPr>
      <w:r w:rsidRPr="006A44E5">
        <w:rPr>
          <w:rFonts w:ascii="宋体" w:eastAsia="宋体" w:hAnsi="宋体" w:cs="宋体" w:hint="eastAsia"/>
          <w:color w:val="000000"/>
          <w:kern w:val="0"/>
          <w:szCs w:val="21"/>
        </w:rPr>
        <w:t xml:space="preserve">　　</w:t>
      </w:r>
      <w:r w:rsidRPr="006A44E5">
        <w:rPr>
          <w:rFonts w:ascii="宋体" w:eastAsia="宋体" w:hAnsi="宋体" w:cs="宋体" w:hint="eastAsia"/>
          <w:b/>
          <w:bCs/>
          <w:color w:val="000000"/>
          <w:kern w:val="0"/>
          <w:szCs w:val="21"/>
        </w:rPr>
        <w:t>QE2</w:t>
      </w:r>
    </w:p>
    <w:p w14:paraId="1E489655" w14:textId="77777777" w:rsidR="006A44E5" w:rsidRPr="006A44E5" w:rsidRDefault="006A44E5" w:rsidP="006A44E5">
      <w:pPr>
        <w:widowControl/>
        <w:spacing w:before="180" w:after="180" w:line="420" w:lineRule="atLeast"/>
        <w:jc w:val="left"/>
        <w:rPr>
          <w:rFonts w:ascii="宋体" w:eastAsia="宋体" w:hAnsi="宋体" w:cs="宋体" w:hint="eastAsia"/>
          <w:color w:val="000000"/>
          <w:kern w:val="0"/>
          <w:szCs w:val="21"/>
        </w:rPr>
      </w:pPr>
      <w:r w:rsidRPr="006A44E5">
        <w:rPr>
          <w:rFonts w:ascii="宋体" w:eastAsia="宋体" w:hAnsi="宋体" w:cs="宋体" w:hint="eastAsia"/>
          <w:color w:val="000000"/>
          <w:kern w:val="0"/>
          <w:szCs w:val="21"/>
        </w:rPr>
        <w:t xml:space="preserve">　　启动：2010年11月3日，</w:t>
      </w:r>
      <w:r w:rsidRPr="006A44E5">
        <w:rPr>
          <w:rFonts w:ascii="宋体" w:eastAsia="宋体" w:hAnsi="宋体" w:cs="宋体" w:hint="eastAsia"/>
          <w:b/>
          <w:bCs/>
          <w:color w:val="000000"/>
          <w:kern w:val="0"/>
          <w:szCs w:val="21"/>
        </w:rPr>
        <w:t>因经济复苏“缓慢得令人失望”</w:t>
      </w:r>
      <w:r w:rsidRPr="006A44E5">
        <w:rPr>
          <w:rFonts w:ascii="宋体" w:eastAsia="宋体" w:hAnsi="宋体" w:cs="宋体" w:hint="eastAsia"/>
          <w:color w:val="000000"/>
          <w:kern w:val="0"/>
          <w:szCs w:val="21"/>
        </w:rPr>
        <w:t>，美联储宣布将购买6,000亿美元国债。</w:t>
      </w:r>
    </w:p>
    <w:p w14:paraId="61BBFEC3" w14:textId="77777777" w:rsidR="006A44E5" w:rsidRPr="006A44E5" w:rsidRDefault="006A44E5" w:rsidP="006A44E5">
      <w:pPr>
        <w:widowControl/>
        <w:spacing w:before="180" w:after="180" w:line="420" w:lineRule="atLeast"/>
        <w:jc w:val="left"/>
        <w:rPr>
          <w:rFonts w:ascii="宋体" w:eastAsia="宋体" w:hAnsi="宋体" w:cs="宋体" w:hint="eastAsia"/>
          <w:color w:val="000000"/>
          <w:kern w:val="0"/>
          <w:szCs w:val="21"/>
        </w:rPr>
      </w:pPr>
      <w:r w:rsidRPr="006A44E5">
        <w:rPr>
          <w:rFonts w:ascii="宋体" w:eastAsia="宋体" w:hAnsi="宋体" w:cs="宋体" w:hint="eastAsia"/>
          <w:color w:val="000000"/>
          <w:kern w:val="0"/>
          <w:szCs w:val="21"/>
        </w:rPr>
        <w:t xml:space="preserve">　　结束：2011年6月30日，QE2目标完成。</w:t>
      </w:r>
    </w:p>
    <w:p w14:paraId="04296E69" w14:textId="77777777" w:rsidR="006A44E5" w:rsidRPr="006A44E5" w:rsidRDefault="006A44E5" w:rsidP="006A44E5">
      <w:pPr>
        <w:widowControl/>
        <w:spacing w:before="180" w:after="180" w:line="420" w:lineRule="atLeast"/>
        <w:jc w:val="left"/>
        <w:rPr>
          <w:rFonts w:ascii="宋体" w:eastAsia="宋体" w:hAnsi="宋体" w:cs="宋体" w:hint="eastAsia"/>
          <w:color w:val="000000"/>
          <w:kern w:val="0"/>
          <w:szCs w:val="21"/>
        </w:rPr>
      </w:pPr>
      <w:r w:rsidRPr="006A44E5">
        <w:rPr>
          <w:rFonts w:ascii="宋体" w:eastAsia="宋体" w:hAnsi="宋体" w:cs="宋体" w:hint="eastAsia"/>
          <w:color w:val="000000"/>
          <w:kern w:val="0"/>
          <w:szCs w:val="21"/>
        </w:rPr>
        <w:t xml:space="preserve">　　</w:t>
      </w:r>
      <w:r w:rsidRPr="006A44E5">
        <w:rPr>
          <w:rFonts w:ascii="宋体" w:eastAsia="宋体" w:hAnsi="宋体" w:cs="宋体" w:hint="eastAsia"/>
          <w:b/>
          <w:bCs/>
          <w:color w:val="000000"/>
          <w:kern w:val="0"/>
          <w:szCs w:val="21"/>
        </w:rPr>
        <w:t>QE3</w:t>
      </w:r>
    </w:p>
    <w:p w14:paraId="447D7761" w14:textId="77777777" w:rsidR="006A44E5" w:rsidRPr="006A44E5" w:rsidRDefault="006A44E5" w:rsidP="006A44E5">
      <w:pPr>
        <w:widowControl/>
        <w:spacing w:before="180" w:after="180" w:line="420" w:lineRule="atLeast"/>
        <w:jc w:val="left"/>
        <w:rPr>
          <w:rFonts w:ascii="宋体" w:eastAsia="宋体" w:hAnsi="宋体" w:cs="宋体" w:hint="eastAsia"/>
          <w:color w:val="000000"/>
          <w:kern w:val="0"/>
          <w:szCs w:val="21"/>
        </w:rPr>
      </w:pPr>
      <w:r w:rsidRPr="006A44E5">
        <w:rPr>
          <w:rFonts w:ascii="宋体" w:eastAsia="宋体" w:hAnsi="宋体" w:cs="宋体" w:hint="eastAsia"/>
          <w:color w:val="000000"/>
          <w:kern w:val="0"/>
          <w:szCs w:val="21"/>
        </w:rPr>
        <w:t xml:space="preserve">　　启动：2012年9月13日，美联储决定将无限期每月购买价值400亿美元的抵押贷款支持证券</w:t>
      </w:r>
    </w:p>
    <w:p w14:paraId="1C5997C9" w14:textId="77777777" w:rsidR="006A44E5" w:rsidRPr="006A44E5" w:rsidRDefault="006A44E5" w:rsidP="006A44E5">
      <w:pPr>
        <w:widowControl/>
        <w:spacing w:before="180" w:after="180" w:line="420" w:lineRule="atLeast"/>
        <w:jc w:val="left"/>
        <w:rPr>
          <w:rFonts w:ascii="宋体" w:eastAsia="宋体" w:hAnsi="宋体" w:cs="宋体" w:hint="eastAsia"/>
          <w:color w:val="000000"/>
          <w:kern w:val="0"/>
          <w:szCs w:val="21"/>
        </w:rPr>
      </w:pPr>
      <w:r w:rsidRPr="006A44E5">
        <w:rPr>
          <w:rFonts w:ascii="宋体" w:eastAsia="宋体" w:hAnsi="宋体" w:cs="宋体" w:hint="eastAsia"/>
          <w:color w:val="000000"/>
          <w:kern w:val="0"/>
          <w:szCs w:val="21"/>
        </w:rPr>
        <w:t xml:space="preserve">　　扩大：2012年12月13日，美联储宣布购买400亿美元抵押贷款支持证券和450亿美元长期国债。</w:t>
      </w:r>
    </w:p>
    <w:p w14:paraId="3420C1CD" w14:textId="77777777" w:rsidR="006A44E5" w:rsidRPr="006A44E5" w:rsidRDefault="006A44E5" w:rsidP="006A44E5">
      <w:pPr>
        <w:widowControl/>
        <w:spacing w:before="180" w:after="180" w:line="420" w:lineRule="atLeast"/>
        <w:jc w:val="left"/>
        <w:rPr>
          <w:rFonts w:ascii="宋体" w:eastAsia="宋体" w:hAnsi="宋体" w:cs="宋体" w:hint="eastAsia"/>
          <w:color w:val="000000"/>
          <w:kern w:val="0"/>
          <w:szCs w:val="21"/>
        </w:rPr>
      </w:pPr>
      <w:r w:rsidRPr="006A44E5">
        <w:rPr>
          <w:rFonts w:ascii="宋体" w:eastAsia="宋体" w:hAnsi="宋体" w:cs="宋体" w:hint="eastAsia"/>
          <w:color w:val="000000"/>
          <w:kern w:val="0"/>
          <w:szCs w:val="21"/>
        </w:rPr>
        <w:t xml:space="preserve">　　结束：2013年12月19日，美联储宣布每月850亿美元的购债规模缩减100亿美元至750亿美元，美联储开始逐步退出QE。</w:t>
      </w:r>
    </w:p>
    <w:p w14:paraId="67B7AFC2" w14:textId="77777777" w:rsidR="006A44E5" w:rsidRPr="006A44E5" w:rsidRDefault="006A44E5" w:rsidP="006A44E5">
      <w:pPr>
        <w:widowControl/>
        <w:spacing w:before="180" w:after="180" w:line="420" w:lineRule="atLeast"/>
        <w:jc w:val="left"/>
        <w:rPr>
          <w:rFonts w:ascii="宋体" w:eastAsia="宋体" w:hAnsi="宋体" w:cs="宋体" w:hint="eastAsia"/>
          <w:color w:val="000000"/>
          <w:kern w:val="0"/>
          <w:szCs w:val="21"/>
        </w:rPr>
      </w:pPr>
      <w:r w:rsidRPr="006A44E5">
        <w:rPr>
          <w:rFonts w:ascii="宋体" w:eastAsia="宋体" w:hAnsi="宋体" w:cs="宋体" w:hint="eastAsia"/>
          <w:color w:val="000000"/>
          <w:kern w:val="0"/>
          <w:szCs w:val="21"/>
        </w:rPr>
        <w:t xml:space="preserve">　　2014年10月29日，美联储宣布到本月为止结束资产购买计划。三轮QE 之后，美国经济呈现出较明显的复苏态势，但美联储也为此付出了巨大的代价。近十年间，美联储资产负债表从9000多亿美元膨胀到 4.5 万亿美元。</w:t>
      </w:r>
    </w:p>
    <w:p w14:paraId="0CDEA0F6" w14:textId="410A5648" w:rsidR="006A44E5" w:rsidRPr="006A44E5" w:rsidRDefault="006A44E5" w:rsidP="006A44E5">
      <w:pPr>
        <w:widowControl/>
        <w:spacing w:line="344" w:lineRule="atLeast"/>
        <w:jc w:val="center"/>
        <w:rPr>
          <w:rFonts w:ascii="宋体" w:eastAsia="宋体" w:hAnsi="宋体" w:cs="宋体" w:hint="eastAsia"/>
          <w:color w:val="484848"/>
          <w:kern w:val="0"/>
          <w:szCs w:val="21"/>
        </w:rPr>
      </w:pPr>
      <w:r w:rsidRPr="006A44E5">
        <w:rPr>
          <w:rFonts w:ascii="宋体" w:eastAsia="宋体" w:hAnsi="宋体" w:cs="宋体"/>
          <w:noProof/>
          <w:color w:val="484848"/>
          <w:kern w:val="0"/>
          <w:szCs w:val="21"/>
        </w:rPr>
        <w:drawing>
          <wp:inline distT="0" distB="0" distL="0" distR="0" wp14:anchorId="2395DA4D" wp14:editId="4737C195">
            <wp:extent cx="5274310" cy="337375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3373755"/>
                    </a:xfrm>
                    <a:prstGeom prst="rect">
                      <a:avLst/>
                    </a:prstGeom>
                    <a:noFill/>
                    <a:ln>
                      <a:noFill/>
                    </a:ln>
                  </pic:spPr>
                </pic:pic>
              </a:graphicData>
            </a:graphic>
          </wp:inline>
        </w:drawing>
      </w:r>
    </w:p>
    <w:p w14:paraId="53D1BE08" w14:textId="77777777" w:rsidR="006A44E5" w:rsidRPr="006A44E5" w:rsidRDefault="006A44E5" w:rsidP="006A44E5">
      <w:pPr>
        <w:widowControl/>
        <w:spacing w:before="180" w:after="180" w:line="420" w:lineRule="atLeast"/>
        <w:jc w:val="left"/>
        <w:rPr>
          <w:rFonts w:ascii="宋体" w:eastAsia="宋体" w:hAnsi="宋体" w:cs="宋体" w:hint="eastAsia"/>
          <w:color w:val="000000"/>
          <w:kern w:val="0"/>
          <w:szCs w:val="21"/>
        </w:rPr>
      </w:pPr>
      <w:r w:rsidRPr="006A44E5">
        <w:rPr>
          <w:rFonts w:ascii="宋体" w:eastAsia="宋体" w:hAnsi="宋体" w:cs="宋体" w:hint="eastAsia"/>
          <w:color w:val="000000"/>
          <w:kern w:val="0"/>
          <w:szCs w:val="21"/>
        </w:rPr>
        <w:t xml:space="preserve">　　除了大量放水外，为了让这些水流动地更加高效，美联储在次贷危机发生后多次降息向市场释放流动性。从2007年7月到2008年秋季，美联储已将目标政策</w:t>
      </w:r>
      <w:hyperlink r:id="rId21" w:tgtFrame="_blank" w:history="1">
        <w:r w:rsidRPr="006A44E5">
          <w:rPr>
            <w:rFonts w:ascii="宋体" w:eastAsia="宋体" w:hAnsi="宋体" w:cs="宋体" w:hint="eastAsia"/>
            <w:color w:val="043396"/>
            <w:kern w:val="0"/>
            <w:szCs w:val="21"/>
            <w:u w:val="single"/>
          </w:rPr>
          <w:t>利率</w:t>
        </w:r>
      </w:hyperlink>
      <w:r w:rsidRPr="006A44E5">
        <w:rPr>
          <w:rFonts w:ascii="宋体" w:eastAsia="宋体" w:hAnsi="宋体" w:cs="宋体" w:hint="eastAsia"/>
          <w:color w:val="000000"/>
          <w:kern w:val="0"/>
          <w:szCs w:val="21"/>
        </w:rPr>
        <w:t>从5.25%下调至1%。2008年12月16日，美联储将其政策</w:t>
      </w:r>
      <w:hyperlink r:id="rId22" w:tgtFrame="_blank" w:history="1">
        <w:r w:rsidRPr="006A44E5">
          <w:rPr>
            <w:rFonts w:ascii="宋体" w:eastAsia="宋体" w:hAnsi="宋体" w:cs="宋体" w:hint="eastAsia"/>
            <w:color w:val="043396"/>
            <w:kern w:val="0"/>
            <w:szCs w:val="21"/>
            <w:u w:val="single"/>
          </w:rPr>
          <w:t>利率</w:t>
        </w:r>
      </w:hyperlink>
      <w:r w:rsidRPr="006A44E5">
        <w:rPr>
          <w:rFonts w:ascii="宋体" w:eastAsia="宋体" w:hAnsi="宋体" w:cs="宋体" w:hint="eastAsia"/>
          <w:color w:val="000000"/>
          <w:kern w:val="0"/>
          <w:szCs w:val="21"/>
        </w:rPr>
        <w:t>降至接近零(0.25%)，也就是当时美联储主席伯南克所说的“旧体制”结束。</w:t>
      </w:r>
    </w:p>
    <w:p w14:paraId="30740961" w14:textId="0C32AC8B" w:rsidR="006A44E5" w:rsidRPr="006A44E5" w:rsidRDefault="006A44E5" w:rsidP="006A44E5">
      <w:pPr>
        <w:widowControl/>
        <w:spacing w:line="344" w:lineRule="atLeast"/>
        <w:jc w:val="center"/>
        <w:rPr>
          <w:rFonts w:ascii="宋体" w:eastAsia="宋体" w:hAnsi="宋体" w:cs="宋体" w:hint="eastAsia"/>
          <w:color w:val="484848"/>
          <w:kern w:val="0"/>
          <w:szCs w:val="21"/>
        </w:rPr>
      </w:pPr>
      <w:r w:rsidRPr="006A44E5">
        <w:rPr>
          <w:rFonts w:ascii="宋体" w:eastAsia="宋体" w:hAnsi="宋体" w:cs="宋体"/>
          <w:noProof/>
          <w:color w:val="484848"/>
          <w:kern w:val="0"/>
          <w:szCs w:val="21"/>
        </w:rPr>
        <w:drawing>
          <wp:inline distT="0" distB="0" distL="0" distR="0" wp14:anchorId="46E482DB" wp14:editId="258576FE">
            <wp:extent cx="5274310" cy="3425825"/>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3425825"/>
                    </a:xfrm>
                    <a:prstGeom prst="rect">
                      <a:avLst/>
                    </a:prstGeom>
                    <a:noFill/>
                    <a:ln>
                      <a:noFill/>
                    </a:ln>
                  </pic:spPr>
                </pic:pic>
              </a:graphicData>
            </a:graphic>
          </wp:inline>
        </w:drawing>
      </w:r>
    </w:p>
    <w:p w14:paraId="6E98AB39" w14:textId="77777777" w:rsidR="006A44E5" w:rsidRPr="006A44E5" w:rsidRDefault="006A44E5" w:rsidP="006A44E5">
      <w:pPr>
        <w:widowControl/>
        <w:spacing w:before="180" w:after="180" w:line="420" w:lineRule="atLeast"/>
        <w:jc w:val="left"/>
        <w:rPr>
          <w:rFonts w:ascii="宋体" w:eastAsia="宋体" w:hAnsi="宋体" w:cs="宋体" w:hint="eastAsia"/>
          <w:color w:val="000000"/>
          <w:kern w:val="0"/>
          <w:szCs w:val="21"/>
        </w:rPr>
      </w:pPr>
      <w:r w:rsidRPr="006A44E5">
        <w:rPr>
          <w:rFonts w:ascii="宋体" w:eastAsia="宋体" w:hAnsi="宋体" w:cs="宋体" w:hint="eastAsia"/>
          <w:color w:val="000000"/>
          <w:kern w:val="0"/>
          <w:szCs w:val="21"/>
        </w:rPr>
        <w:t xml:space="preserve">　　“零利率”意味着什么？意味着扣除通货膨胀率，实际利率为负。也就是说，你把钱存进银行还要交给银行“利息”，所以负利率实际上是对人们的储蓄征税，从而促使人们有更强的意愿去消费，从而去刺激低迷的经济活动。</w:t>
      </w:r>
    </w:p>
    <w:p w14:paraId="71ED9381" w14:textId="77777777" w:rsidR="006A44E5" w:rsidRPr="006A44E5" w:rsidRDefault="006A44E5" w:rsidP="006A44E5">
      <w:pPr>
        <w:widowControl/>
        <w:spacing w:before="180" w:after="180" w:line="420" w:lineRule="atLeast"/>
        <w:jc w:val="left"/>
        <w:rPr>
          <w:rFonts w:ascii="宋体" w:eastAsia="宋体" w:hAnsi="宋体" w:cs="宋体" w:hint="eastAsia"/>
          <w:color w:val="000000"/>
          <w:kern w:val="0"/>
          <w:szCs w:val="21"/>
        </w:rPr>
      </w:pPr>
      <w:r w:rsidRPr="006A44E5">
        <w:rPr>
          <w:rFonts w:ascii="宋体" w:eastAsia="宋体" w:hAnsi="宋体" w:cs="宋体" w:hint="eastAsia"/>
          <w:color w:val="000000"/>
          <w:kern w:val="0"/>
          <w:szCs w:val="21"/>
        </w:rPr>
        <w:t xml:space="preserve">　　在双重大招“量化宽松”和“零利率”的刺激下，美国经济在经历2019年金融危机影响下的负增长之后，保持每年3%左右稳定的正增长。金融危机后，世界老大哥依旧保持经济的稳定持续发展。</w:t>
      </w:r>
    </w:p>
    <w:p w14:paraId="4240A7FC" w14:textId="402CC1D6" w:rsidR="006A44E5" w:rsidRPr="006A44E5" w:rsidRDefault="006A44E5" w:rsidP="006A44E5">
      <w:pPr>
        <w:widowControl/>
        <w:spacing w:line="344" w:lineRule="atLeast"/>
        <w:jc w:val="center"/>
        <w:rPr>
          <w:rFonts w:ascii="宋体" w:eastAsia="宋体" w:hAnsi="宋体" w:cs="宋体" w:hint="eastAsia"/>
          <w:color w:val="484848"/>
          <w:kern w:val="0"/>
          <w:szCs w:val="21"/>
        </w:rPr>
      </w:pPr>
      <w:r w:rsidRPr="006A44E5">
        <w:rPr>
          <w:rFonts w:ascii="宋体" w:eastAsia="宋体" w:hAnsi="宋体" w:cs="宋体"/>
          <w:noProof/>
          <w:color w:val="484848"/>
          <w:kern w:val="0"/>
          <w:szCs w:val="21"/>
        </w:rPr>
        <w:drawing>
          <wp:inline distT="0" distB="0" distL="0" distR="0" wp14:anchorId="477CDEF4" wp14:editId="30C99382">
            <wp:extent cx="5274310" cy="338645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3386455"/>
                    </a:xfrm>
                    <a:prstGeom prst="rect">
                      <a:avLst/>
                    </a:prstGeom>
                    <a:noFill/>
                    <a:ln>
                      <a:noFill/>
                    </a:ln>
                  </pic:spPr>
                </pic:pic>
              </a:graphicData>
            </a:graphic>
          </wp:inline>
        </w:drawing>
      </w:r>
    </w:p>
    <w:p w14:paraId="45794C95" w14:textId="77777777" w:rsidR="006A44E5" w:rsidRPr="006A44E5" w:rsidRDefault="006A44E5" w:rsidP="006A44E5">
      <w:pPr>
        <w:widowControl/>
        <w:spacing w:before="180" w:after="180" w:line="420" w:lineRule="atLeast"/>
        <w:jc w:val="left"/>
        <w:rPr>
          <w:rFonts w:ascii="宋体" w:eastAsia="宋体" w:hAnsi="宋体" w:cs="宋体" w:hint="eastAsia"/>
          <w:color w:val="000000"/>
          <w:kern w:val="0"/>
          <w:szCs w:val="21"/>
        </w:rPr>
      </w:pPr>
      <w:r w:rsidRPr="006A44E5">
        <w:rPr>
          <w:rFonts w:ascii="宋体" w:eastAsia="宋体" w:hAnsi="宋体" w:cs="宋体" w:hint="eastAsia"/>
          <w:color w:val="000000"/>
          <w:kern w:val="0"/>
          <w:szCs w:val="21"/>
        </w:rPr>
        <w:t xml:space="preserve">　　</w:t>
      </w:r>
      <w:r w:rsidRPr="006A44E5">
        <w:rPr>
          <w:rFonts w:ascii="宋体" w:eastAsia="宋体" w:hAnsi="宋体" w:cs="宋体" w:hint="eastAsia"/>
          <w:b/>
          <w:bCs/>
          <w:color w:val="000000"/>
          <w:kern w:val="0"/>
          <w:szCs w:val="21"/>
        </w:rPr>
        <w:t>【3】宏观经济</w:t>
      </w:r>
    </w:p>
    <w:p w14:paraId="597BC865" w14:textId="77777777" w:rsidR="006A44E5" w:rsidRPr="006A44E5" w:rsidRDefault="006A44E5" w:rsidP="006A44E5">
      <w:pPr>
        <w:widowControl/>
        <w:spacing w:before="180" w:after="180" w:line="420" w:lineRule="atLeast"/>
        <w:jc w:val="left"/>
        <w:rPr>
          <w:rFonts w:ascii="宋体" w:eastAsia="宋体" w:hAnsi="宋体" w:cs="宋体" w:hint="eastAsia"/>
          <w:color w:val="000000"/>
          <w:kern w:val="0"/>
          <w:szCs w:val="21"/>
        </w:rPr>
      </w:pPr>
      <w:r w:rsidRPr="006A44E5">
        <w:rPr>
          <w:rFonts w:ascii="宋体" w:eastAsia="宋体" w:hAnsi="宋体" w:cs="宋体" w:hint="eastAsia"/>
          <w:color w:val="000000"/>
          <w:kern w:val="0"/>
          <w:szCs w:val="21"/>
        </w:rPr>
        <w:t xml:space="preserve">　　常言道，股市是宏观经济的晴雨表。美股十年的长牛真的是因为经济的稳步复苏导致的吗？</w:t>
      </w:r>
    </w:p>
    <w:p w14:paraId="7CC3A37A" w14:textId="77777777" w:rsidR="006A44E5" w:rsidRPr="006A44E5" w:rsidRDefault="006A44E5" w:rsidP="006A44E5">
      <w:pPr>
        <w:widowControl/>
        <w:spacing w:before="180" w:after="180" w:line="420" w:lineRule="atLeast"/>
        <w:jc w:val="left"/>
        <w:rPr>
          <w:rFonts w:ascii="宋体" w:eastAsia="宋体" w:hAnsi="宋体" w:cs="宋体" w:hint="eastAsia"/>
          <w:color w:val="000000"/>
          <w:kern w:val="0"/>
          <w:szCs w:val="21"/>
        </w:rPr>
      </w:pPr>
      <w:r w:rsidRPr="006A44E5">
        <w:rPr>
          <w:rFonts w:ascii="宋体" w:eastAsia="宋体" w:hAnsi="宋体" w:cs="宋体" w:hint="eastAsia"/>
          <w:color w:val="000000"/>
          <w:kern w:val="0"/>
          <w:szCs w:val="21"/>
        </w:rPr>
        <w:t xml:space="preserve">　　回溯历史，美国道琼斯指数在1964年—1998年间的前17年和后17年的走势完全不同。</w:t>
      </w:r>
    </w:p>
    <w:p w14:paraId="786388E3" w14:textId="77777777" w:rsidR="006A44E5" w:rsidRPr="006A44E5" w:rsidRDefault="006A44E5" w:rsidP="006A44E5">
      <w:pPr>
        <w:widowControl/>
        <w:spacing w:before="180" w:after="180" w:line="420" w:lineRule="atLeast"/>
        <w:jc w:val="left"/>
        <w:rPr>
          <w:rFonts w:ascii="宋体" w:eastAsia="宋体" w:hAnsi="宋体" w:cs="宋体" w:hint="eastAsia"/>
          <w:color w:val="000000"/>
          <w:kern w:val="0"/>
          <w:szCs w:val="21"/>
        </w:rPr>
      </w:pPr>
      <w:r w:rsidRPr="006A44E5">
        <w:rPr>
          <w:rFonts w:ascii="宋体" w:eastAsia="宋体" w:hAnsi="宋体" w:cs="宋体" w:hint="eastAsia"/>
          <w:color w:val="000000"/>
          <w:kern w:val="0"/>
          <w:szCs w:val="21"/>
        </w:rPr>
        <w:t xml:space="preserve">　　第一个17年：1964年年底道。琼斯指数为874.12点，1981年年底为875.00点，17年间增长0.1个百分点，几乎原地踏步。</w:t>
      </w:r>
    </w:p>
    <w:p w14:paraId="1D875930" w14:textId="77777777" w:rsidR="006A44E5" w:rsidRPr="006A44E5" w:rsidRDefault="006A44E5" w:rsidP="006A44E5">
      <w:pPr>
        <w:widowControl/>
        <w:spacing w:before="180" w:after="180" w:line="420" w:lineRule="atLeast"/>
        <w:jc w:val="left"/>
        <w:rPr>
          <w:rFonts w:ascii="宋体" w:eastAsia="宋体" w:hAnsi="宋体" w:cs="宋体" w:hint="eastAsia"/>
          <w:color w:val="000000"/>
          <w:kern w:val="0"/>
          <w:szCs w:val="21"/>
        </w:rPr>
      </w:pPr>
      <w:r w:rsidRPr="006A44E5">
        <w:rPr>
          <w:rFonts w:ascii="宋体" w:eastAsia="宋体" w:hAnsi="宋体" w:cs="宋体" w:hint="eastAsia"/>
          <w:color w:val="000000"/>
          <w:kern w:val="0"/>
          <w:szCs w:val="21"/>
        </w:rPr>
        <w:t xml:space="preserve">　　第二个17年：1981年年底道。琼斯指数为875.00点，1998年年底为9181.43点，17年间上涨超过10倍，为典型的令人难以置信的大牛市行情。</w:t>
      </w:r>
    </w:p>
    <w:p w14:paraId="6C754F7D" w14:textId="77777777" w:rsidR="006A44E5" w:rsidRPr="006A44E5" w:rsidRDefault="006A44E5" w:rsidP="006A44E5">
      <w:pPr>
        <w:widowControl/>
        <w:spacing w:before="180" w:after="180" w:line="420" w:lineRule="atLeast"/>
        <w:jc w:val="left"/>
        <w:rPr>
          <w:rFonts w:ascii="宋体" w:eastAsia="宋体" w:hAnsi="宋体" w:cs="宋体" w:hint="eastAsia"/>
          <w:color w:val="000000"/>
          <w:kern w:val="0"/>
          <w:szCs w:val="21"/>
        </w:rPr>
      </w:pPr>
      <w:r w:rsidRPr="006A44E5">
        <w:rPr>
          <w:rFonts w:ascii="宋体" w:eastAsia="宋体" w:hAnsi="宋体" w:cs="宋体" w:hint="eastAsia"/>
          <w:color w:val="000000"/>
          <w:kern w:val="0"/>
          <w:szCs w:val="21"/>
        </w:rPr>
        <w:t xml:space="preserve">　　在股市低迷的第一个17年间，美国GNP增长率为373%，而在第二个17年的大牛市期间，美国GNP增长率只有177%，二者相差近一倍。</w:t>
      </w:r>
    </w:p>
    <w:p w14:paraId="6B77726E" w14:textId="77777777" w:rsidR="006A44E5" w:rsidRPr="006A44E5" w:rsidRDefault="006A44E5" w:rsidP="006A44E5">
      <w:pPr>
        <w:widowControl/>
        <w:spacing w:before="180" w:after="180" w:line="420" w:lineRule="atLeast"/>
        <w:jc w:val="left"/>
        <w:rPr>
          <w:rFonts w:ascii="宋体" w:eastAsia="宋体" w:hAnsi="宋体" w:cs="宋体" w:hint="eastAsia"/>
          <w:color w:val="000000"/>
          <w:kern w:val="0"/>
          <w:szCs w:val="21"/>
        </w:rPr>
      </w:pPr>
      <w:r w:rsidRPr="006A44E5">
        <w:rPr>
          <w:rFonts w:ascii="宋体" w:eastAsia="宋体" w:hAnsi="宋体" w:cs="宋体" w:hint="eastAsia"/>
          <w:color w:val="000000"/>
          <w:kern w:val="0"/>
          <w:szCs w:val="21"/>
        </w:rPr>
        <w:t xml:space="preserve">　　美国股市在两个17年间有完全不同的表现，原因何在呢？</w:t>
      </w:r>
    </w:p>
    <w:p w14:paraId="606DE842" w14:textId="77777777" w:rsidR="006A44E5" w:rsidRPr="006A44E5" w:rsidRDefault="006A44E5" w:rsidP="006A44E5">
      <w:pPr>
        <w:widowControl/>
        <w:spacing w:before="180" w:after="180" w:line="420" w:lineRule="atLeast"/>
        <w:jc w:val="left"/>
        <w:rPr>
          <w:rFonts w:ascii="宋体" w:eastAsia="宋体" w:hAnsi="宋体" w:cs="宋体" w:hint="eastAsia"/>
          <w:color w:val="000000"/>
          <w:kern w:val="0"/>
          <w:szCs w:val="21"/>
        </w:rPr>
      </w:pPr>
      <w:r w:rsidRPr="006A44E5">
        <w:rPr>
          <w:rFonts w:ascii="宋体" w:eastAsia="宋体" w:hAnsi="宋体" w:cs="宋体" w:hint="eastAsia"/>
          <w:color w:val="000000"/>
          <w:kern w:val="0"/>
          <w:szCs w:val="21"/>
        </w:rPr>
        <w:t xml:space="preserve">　　最主要的因素有两点，</w:t>
      </w:r>
      <w:r w:rsidRPr="006A44E5">
        <w:rPr>
          <w:rFonts w:ascii="宋体" w:eastAsia="宋体" w:hAnsi="宋体" w:cs="宋体" w:hint="eastAsia"/>
          <w:b/>
          <w:bCs/>
          <w:color w:val="000000"/>
          <w:kern w:val="0"/>
          <w:szCs w:val="21"/>
        </w:rPr>
        <w:t>第一是预期投资收益率，第二是投资心理。</w:t>
      </w:r>
      <w:r w:rsidRPr="006A44E5">
        <w:rPr>
          <w:rFonts w:ascii="宋体" w:eastAsia="宋体" w:hAnsi="宋体" w:cs="宋体" w:hint="eastAsia"/>
          <w:color w:val="000000"/>
          <w:kern w:val="0"/>
          <w:szCs w:val="21"/>
        </w:rPr>
        <w:t>预期代表了投资者在当前宏观经济下对投资回报的期望值；投资心理代表了投资者的信心指数。股市是一个人性博弈的地方，人们看到股市大涨，投机性交易疯狂爆发；看到股市大跌，就疯狂踩踏离场。所以，</w:t>
      </w:r>
      <w:r w:rsidRPr="006A44E5">
        <w:rPr>
          <w:rFonts w:ascii="宋体" w:eastAsia="宋体" w:hAnsi="宋体" w:cs="宋体" w:hint="eastAsia"/>
          <w:b/>
          <w:bCs/>
          <w:color w:val="000000"/>
          <w:kern w:val="0"/>
          <w:szCs w:val="21"/>
        </w:rPr>
        <w:t>股市每次大涨必定是涨过头，每次大跌必定是跌过头。</w:t>
      </w:r>
    </w:p>
    <w:p w14:paraId="73742761" w14:textId="77777777" w:rsidR="006A44E5" w:rsidRPr="006A44E5" w:rsidRDefault="006A44E5" w:rsidP="006A44E5">
      <w:pPr>
        <w:widowControl/>
        <w:spacing w:before="180" w:after="180" w:line="420" w:lineRule="atLeast"/>
        <w:jc w:val="left"/>
        <w:rPr>
          <w:rFonts w:ascii="宋体" w:eastAsia="宋体" w:hAnsi="宋体" w:cs="宋体" w:hint="eastAsia"/>
          <w:color w:val="000000"/>
          <w:kern w:val="0"/>
          <w:szCs w:val="21"/>
        </w:rPr>
      </w:pPr>
      <w:r w:rsidRPr="006A44E5">
        <w:rPr>
          <w:rFonts w:ascii="宋体" w:eastAsia="宋体" w:hAnsi="宋体" w:cs="宋体" w:hint="eastAsia"/>
          <w:color w:val="000000"/>
          <w:kern w:val="0"/>
          <w:szCs w:val="21"/>
        </w:rPr>
        <w:t xml:space="preserve">　　我们来看几组比较重要的数据——Sentix投资信心指数在2009年探底后总体上行，说明投资者信心的不断增强。</w:t>
      </w:r>
      <w:hyperlink r:id="rId25" w:tgtFrame="_blank" w:history="1">
        <w:r w:rsidRPr="006A44E5">
          <w:rPr>
            <w:rFonts w:ascii="宋体" w:eastAsia="宋体" w:hAnsi="宋体" w:cs="宋体" w:hint="eastAsia"/>
            <w:color w:val="043396"/>
            <w:kern w:val="0"/>
            <w:szCs w:val="21"/>
            <w:u w:val="single"/>
          </w:rPr>
          <w:t>CPI</w:t>
        </w:r>
      </w:hyperlink>
      <w:r w:rsidRPr="006A44E5">
        <w:rPr>
          <w:rFonts w:ascii="宋体" w:eastAsia="宋体" w:hAnsi="宋体" w:cs="宋体" w:hint="eastAsia"/>
          <w:color w:val="000000"/>
          <w:kern w:val="0"/>
          <w:szCs w:val="21"/>
        </w:rPr>
        <w:t>指数从2019年中期的高位一路下行，在量化宽松大放水的情况下，并没有发生通货膨胀，说明政府和政策引导下美国物价水平得到有效控制。失业率一路下行，也代表了经济复苏带来的就业岗位增多。</w:t>
      </w:r>
    </w:p>
    <w:p w14:paraId="4A17BAA9" w14:textId="77777777" w:rsidR="006A44E5" w:rsidRPr="006A44E5" w:rsidRDefault="006A44E5" w:rsidP="006A44E5">
      <w:pPr>
        <w:widowControl/>
        <w:spacing w:before="180" w:after="180" w:line="420" w:lineRule="atLeast"/>
        <w:jc w:val="left"/>
        <w:rPr>
          <w:rFonts w:ascii="宋体" w:eastAsia="宋体" w:hAnsi="宋体" w:cs="宋体" w:hint="eastAsia"/>
          <w:color w:val="000000"/>
          <w:kern w:val="0"/>
          <w:szCs w:val="21"/>
        </w:rPr>
      </w:pPr>
      <w:r w:rsidRPr="006A44E5">
        <w:rPr>
          <w:rFonts w:ascii="宋体" w:eastAsia="宋体" w:hAnsi="宋体" w:cs="宋体" w:hint="eastAsia"/>
          <w:color w:val="000000"/>
          <w:kern w:val="0"/>
          <w:szCs w:val="21"/>
        </w:rPr>
        <w:t xml:space="preserve">　　但是，既然股市跟宏观经济没有很明显的相关性，那如何判定股市是被高估还是低估呢？</w:t>
      </w:r>
    </w:p>
    <w:p w14:paraId="0B60BA24" w14:textId="77777777" w:rsidR="006A44E5" w:rsidRPr="006A44E5" w:rsidRDefault="006A44E5" w:rsidP="006A44E5">
      <w:pPr>
        <w:widowControl/>
        <w:spacing w:before="180" w:after="180" w:line="420" w:lineRule="atLeast"/>
        <w:jc w:val="left"/>
        <w:rPr>
          <w:rFonts w:ascii="宋体" w:eastAsia="宋体" w:hAnsi="宋体" w:cs="宋体" w:hint="eastAsia"/>
          <w:color w:val="000000"/>
          <w:kern w:val="0"/>
          <w:szCs w:val="21"/>
        </w:rPr>
      </w:pPr>
      <w:r w:rsidRPr="006A44E5">
        <w:rPr>
          <w:rFonts w:ascii="宋体" w:eastAsia="宋体" w:hAnsi="宋体" w:cs="宋体" w:hint="eastAsia"/>
          <w:color w:val="000000"/>
          <w:kern w:val="0"/>
          <w:szCs w:val="21"/>
        </w:rPr>
        <w:t xml:space="preserve">　　笔者一直用巴菲特最爱的一个量化指标来判断，即“</w:t>
      </w:r>
      <w:r w:rsidRPr="006A44E5">
        <w:rPr>
          <w:rFonts w:ascii="宋体" w:eastAsia="宋体" w:hAnsi="宋体" w:cs="宋体" w:hint="eastAsia"/>
          <w:b/>
          <w:bCs/>
          <w:color w:val="000000"/>
          <w:kern w:val="0"/>
          <w:szCs w:val="21"/>
        </w:rPr>
        <w:t>所有上市公司总市值占</w:t>
      </w:r>
      <w:hyperlink r:id="rId26" w:tgtFrame="_blank" w:history="1">
        <w:r w:rsidRPr="006A44E5">
          <w:rPr>
            <w:rFonts w:ascii="宋体" w:eastAsia="宋体" w:hAnsi="宋体" w:cs="宋体" w:hint="eastAsia"/>
            <w:b/>
            <w:bCs/>
            <w:color w:val="043396"/>
            <w:kern w:val="0"/>
            <w:szCs w:val="21"/>
            <w:u w:val="single"/>
          </w:rPr>
          <w:t>GDP</w:t>
        </w:r>
      </w:hyperlink>
      <w:r w:rsidRPr="006A44E5">
        <w:rPr>
          <w:rFonts w:ascii="宋体" w:eastAsia="宋体" w:hAnsi="宋体" w:cs="宋体" w:hint="eastAsia"/>
          <w:b/>
          <w:bCs/>
          <w:color w:val="000000"/>
          <w:kern w:val="0"/>
          <w:szCs w:val="21"/>
        </w:rPr>
        <w:t>的比率</w:t>
      </w:r>
      <w:r w:rsidRPr="006A44E5">
        <w:rPr>
          <w:rFonts w:ascii="宋体" w:eastAsia="宋体" w:hAnsi="宋体" w:cs="宋体" w:hint="eastAsia"/>
          <w:color w:val="000000"/>
          <w:kern w:val="0"/>
          <w:szCs w:val="21"/>
        </w:rPr>
        <w:t>”。 虽然所有上市公司总市值占GDP的比率这项指标只能告诉投资人有限的信息，但它却可能是任何时候评判公司价值是否合理的最理想的单一指标。</w:t>
      </w:r>
    </w:p>
    <w:p w14:paraId="18D1BB44" w14:textId="115BDF69" w:rsidR="006A44E5" w:rsidRPr="006A44E5" w:rsidRDefault="006A44E5" w:rsidP="006A44E5">
      <w:pPr>
        <w:widowControl/>
        <w:spacing w:line="344" w:lineRule="atLeast"/>
        <w:jc w:val="center"/>
        <w:rPr>
          <w:rFonts w:ascii="宋体" w:eastAsia="宋体" w:hAnsi="宋体" w:cs="宋体" w:hint="eastAsia"/>
          <w:color w:val="484848"/>
          <w:kern w:val="0"/>
          <w:szCs w:val="21"/>
        </w:rPr>
      </w:pPr>
      <w:r w:rsidRPr="006A44E5">
        <w:rPr>
          <w:rFonts w:ascii="宋体" w:eastAsia="宋体" w:hAnsi="宋体" w:cs="宋体"/>
          <w:noProof/>
          <w:color w:val="484848"/>
          <w:kern w:val="0"/>
          <w:szCs w:val="21"/>
        </w:rPr>
        <w:drawing>
          <wp:inline distT="0" distB="0" distL="0" distR="0" wp14:anchorId="1C8216DA" wp14:editId="0A23901A">
            <wp:extent cx="5274310" cy="336105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3361055"/>
                    </a:xfrm>
                    <a:prstGeom prst="rect">
                      <a:avLst/>
                    </a:prstGeom>
                    <a:noFill/>
                    <a:ln>
                      <a:noFill/>
                    </a:ln>
                  </pic:spPr>
                </pic:pic>
              </a:graphicData>
            </a:graphic>
          </wp:inline>
        </w:drawing>
      </w:r>
    </w:p>
    <w:p w14:paraId="4109DE6B" w14:textId="77777777" w:rsidR="006A44E5" w:rsidRPr="006A44E5" w:rsidRDefault="006A44E5" w:rsidP="006A44E5">
      <w:pPr>
        <w:widowControl/>
        <w:spacing w:before="180" w:after="180" w:line="420" w:lineRule="atLeast"/>
        <w:jc w:val="left"/>
        <w:rPr>
          <w:rFonts w:ascii="宋体" w:eastAsia="宋体" w:hAnsi="宋体" w:cs="宋体" w:hint="eastAsia"/>
          <w:color w:val="000000"/>
          <w:kern w:val="0"/>
          <w:szCs w:val="21"/>
        </w:rPr>
      </w:pPr>
      <w:r w:rsidRPr="006A44E5">
        <w:rPr>
          <w:rFonts w:ascii="宋体" w:eastAsia="宋体" w:hAnsi="宋体" w:cs="宋体" w:hint="eastAsia"/>
          <w:color w:val="000000"/>
          <w:kern w:val="0"/>
          <w:szCs w:val="21"/>
        </w:rPr>
        <w:t xml:space="preserve">　　如图所示，2009年处于这一比值的底部，后续的行情也验证了这一指标的正确性。</w:t>
      </w:r>
    </w:p>
    <w:p w14:paraId="32A689FC" w14:textId="77777777" w:rsidR="006A44E5" w:rsidRPr="006A44E5" w:rsidRDefault="006A44E5" w:rsidP="006A44E5">
      <w:pPr>
        <w:widowControl/>
        <w:spacing w:before="180" w:after="180" w:line="420" w:lineRule="atLeast"/>
        <w:jc w:val="left"/>
        <w:rPr>
          <w:rFonts w:ascii="宋体" w:eastAsia="宋体" w:hAnsi="宋体" w:cs="宋体" w:hint="eastAsia"/>
          <w:color w:val="000000"/>
          <w:kern w:val="0"/>
          <w:szCs w:val="21"/>
        </w:rPr>
      </w:pPr>
      <w:r w:rsidRPr="006A44E5">
        <w:rPr>
          <w:rFonts w:ascii="宋体" w:eastAsia="宋体" w:hAnsi="宋体" w:cs="宋体" w:hint="eastAsia"/>
          <w:color w:val="000000"/>
          <w:kern w:val="0"/>
          <w:szCs w:val="21"/>
        </w:rPr>
        <w:t xml:space="preserve">　　</w:t>
      </w:r>
      <w:r w:rsidRPr="006A44E5">
        <w:rPr>
          <w:rFonts w:ascii="宋体" w:eastAsia="宋体" w:hAnsi="宋体" w:cs="宋体" w:hint="eastAsia"/>
          <w:b/>
          <w:bCs/>
          <w:color w:val="000000"/>
          <w:kern w:val="0"/>
          <w:szCs w:val="21"/>
        </w:rPr>
        <w:t>【4】企业发展</w:t>
      </w:r>
    </w:p>
    <w:p w14:paraId="3A085D97" w14:textId="77777777" w:rsidR="006A44E5" w:rsidRPr="006A44E5" w:rsidRDefault="006A44E5" w:rsidP="006A44E5">
      <w:pPr>
        <w:widowControl/>
        <w:spacing w:before="180" w:after="180" w:line="420" w:lineRule="atLeast"/>
        <w:jc w:val="left"/>
        <w:rPr>
          <w:rFonts w:ascii="宋体" w:eastAsia="宋体" w:hAnsi="宋体" w:cs="宋体" w:hint="eastAsia"/>
          <w:color w:val="000000"/>
          <w:kern w:val="0"/>
          <w:szCs w:val="21"/>
        </w:rPr>
      </w:pPr>
      <w:r w:rsidRPr="006A44E5">
        <w:rPr>
          <w:rFonts w:ascii="宋体" w:eastAsia="宋体" w:hAnsi="宋体" w:cs="宋体" w:hint="eastAsia"/>
          <w:color w:val="000000"/>
          <w:kern w:val="0"/>
          <w:szCs w:val="21"/>
        </w:rPr>
        <w:t xml:space="preserve">　　一家公司长期的盈利能力，是吸引投资者的重要指标，因为投资者作为</w:t>
      </w:r>
      <w:hyperlink r:id="rId28" w:tgtFrame="_blank" w:history="1">
        <w:r w:rsidRPr="006A44E5">
          <w:rPr>
            <w:rFonts w:ascii="宋体" w:eastAsia="宋体" w:hAnsi="宋体" w:cs="宋体" w:hint="eastAsia"/>
            <w:color w:val="043396"/>
            <w:kern w:val="0"/>
            <w:szCs w:val="21"/>
            <w:u w:val="single"/>
          </w:rPr>
          <w:t>股东</w:t>
        </w:r>
      </w:hyperlink>
      <w:r w:rsidRPr="006A44E5">
        <w:rPr>
          <w:rFonts w:ascii="宋体" w:eastAsia="宋体" w:hAnsi="宋体" w:cs="宋体" w:hint="eastAsia"/>
          <w:color w:val="000000"/>
          <w:kern w:val="0"/>
          <w:szCs w:val="21"/>
        </w:rPr>
        <w:t>可享受公司成长带来的收益，无论是买卖价差还是股息。美国企业利润从08年底开始逐渐回升，表明了股票投资的收益可期。</w:t>
      </w:r>
    </w:p>
    <w:p w14:paraId="6DFB49E9" w14:textId="77777777" w:rsidR="006A44E5" w:rsidRPr="006A44E5" w:rsidRDefault="006A44E5" w:rsidP="006A44E5">
      <w:pPr>
        <w:widowControl/>
        <w:spacing w:before="180" w:after="180" w:line="420" w:lineRule="atLeast"/>
        <w:jc w:val="left"/>
        <w:rPr>
          <w:rFonts w:ascii="宋体" w:eastAsia="宋体" w:hAnsi="宋体" w:cs="宋体" w:hint="eastAsia"/>
          <w:color w:val="000000"/>
          <w:kern w:val="0"/>
          <w:szCs w:val="21"/>
        </w:rPr>
      </w:pPr>
      <w:r w:rsidRPr="006A44E5">
        <w:rPr>
          <w:rFonts w:ascii="宋体" w:eastAsia="宋体" w:hAnsi="宋体" w:cs="宋体" w:hint="eastAsia"/>
          <w:color w:val="000000"/>
          <w:kern w:val="0"/>
          <w:szCs w:val="21"/>
        </w:rPr>
        <w:t xml:space="preserve">　　细分行业来看，以互联网为代表的信息科技，是近几十年推动世界经济增长的第一动力。科技股对标普500指数涨幅的贡献率高达98%，且科技股中以FAANG(Facebook、Apple、Amazon、Netflix、Google)五家公司为代表，在过去十年展示了惊人的增长率。</w:t>
      </w:r>
    </w:p>
    <w:p w14:paraId="5C4F6A9A" w14:textId="77777777" w:rsidR="006A44E5" w:rsidRPr="006A44E5" w:rsidRDefault="006A44E5" w:rsidP="006A44E5">
      <w:pPr>
        <w:widowControl/>
        <w:spacing w:before="180" w:after="180" w:line="420" w:lineRule="atLeast"/>
        <w:jc w:val="left"/>
        <w:rPr>
          <w:rFonts w:ascii="宋体" w:eastAsia="宋体" w:hAnsi="宋体" w:cs="宋体" w:hint="eastAsia"/>
          <w:color w:val="000000"/>
          <w:kern w:val="0"/>
          <w:szCs w:val="21"/>
        </w:rPr>
      </w:pPr>
      <w:r w:rsidRPr="006A44E5">
        <w:rPr>
          <w:rFonts w:ascii="宋体" w:eastAsia="宋体" w:hAnsi="宋体" w:cs="宋体" w:hint="eastAsia"/>
          <w:color w:val="000000"/>
          <w:kern w:val="0"/>
          <w:szCs w:val="21"/>
        </w:rPr>
        <w:t xml:space="preserve">　　另外，笔者认为美国股市的投资者结构也是筑牛的一个很重要基础。</w:t>
      </w:r>
    </w:p>
    <w:p w14:paraId="6DB972A1" w14:textId="708239C9" w:rsidR="006A44E5" w:rsidRPr="006A44E5" w:rsidRDefault="006A44E5" w:rsidP="006A44E5">
      <w:pPr>
        <w:widowControl/>
        <w:spacing w:line="344" w:lineRule="atLeast"/>
        <w:jc w:val="center"/>
        <w:rPr>
          <w:rFonts w:ascii="宋体" w:eastAsia="宋体" w:hAnsi="宋体" w:cs="宋体" w:hint="eastAsia"/>
          <w:color w:val="484848"/>
          <w:kern w:val="0"/>
          <w:szCs w:val="21"/>
        </w:rPr>
      </w:pPr>
      <w:r w:rsidRPr="006A44E5">
        <w:rPr>
          <w:rFonts w:ascii="宋体" w:eastAsia="宋体" w:hAnsi="宋体" w:cs="宋体"/>
          <w:noProof/>
          <w:color w:val="484848"/>
          <w:kern w:val="0"/>
          <w:szCs w:val="21"/>
        </w:rPr>
        <w:drawing>
          <wp:inline distT="0" distB="0" distL="0" distR="0" wp14:anchorId="45B3655D" wp14:editId="25DB7E1F">
            <wp:extent cx="5274310" cy="33737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3373755"/>
                    </a:xfrm>
                    <a:prstGeom prst="rect">
                      <a:avLst/>
                    </a:prstGeom>
                    <a:noFill/>
                    <a:ln>
                      <a:noFill/>
                    </a:ln>
                  </pic:spPr>
                </pic:pic>
              </a:graphicData>
            </a:graphic>
          </wp:inline>
        </w:drawing>
      </w:r>
    </w:p>
    <w:p w14:paraId="7E6F7EC6" w14:textId="77777777" w:rsidR="006A44E5" w:rsidRPr="006A44E5" w:rsidRDefault="006A44E5" w:rsidP="006A44E5">
      <w:pPr>
        <w:widowControl/>
        <w:spacing w:before="180" w:after="180" w:line="420" w:lineRule="atLeast"/>
        <w:jc w:val="left"/>
        <w:rPr>
          <w:rFonts w:ascii="宋体" w:eastAsia="宋体" w:hAnsi="宋体" w:cs="宋体" w:hint="eastAsia"/>
          <w:color w:val="000000"/>
          <w:kern w:val="0"/>
          <w:szCs w:val="21"/>
        </w:rPr>
      </w:pPr>
      <w:r w:rsidRPr="006A44E5">
        <w:rPr>
          <w:rFonts w:ascii="宋体" w:eastAsia="宋体" w:hAnsi="宋体" w:cs="宋体" w:hint="eastAsia"/>
          <w:color w:val="000000"/>
          <w:kern w:val="0"/>
          <w:szCs w:val="21"/>
        </w:rPr>
        <w:t xml:space="preserve">　　据统计，2018年美国机构投资者持有市值占比高达 93.2%，为全球最高。机构投资者相比于散户，具有资金量大，换手率低，投资周期长，专业能力强，行为更加规范等特点，对市场扩容和维稳具有主导作用。</w:t>
      </w:r>
    </w:p>
    <w:p w14:paraId="165F6E8A" w14:textId="71E29631" w:rsidR="006A44E5" w:rsidRPr="006A44E5" w:rsidRDefault="006A44E5" w:rsidP="006A44E5">
      <w:pPr>
        <w:widowControl/>
        <w:spacing w:line="344" w:lineRule="atLeast"/>
        <w:jc w:val="center"/>
        <w:rPr>
          <w:rFonts w:ascii="宋体" w:eastAsia="宋体" w:hAnsi="宋体" w:cs="宋体" w:hint="eastAsia"/>
          <w:color w:val="484848"/>
          <w:kern w:val="0"/>
          <w:szCs w:val="21"/>
        </w:rPr>
      </w:pPr>
      <w:r w:rsidRPr="006A44E5">
        <w:rPr>
          <w:rFonts w:ascii="宋体" w:eastAsia="宋体" w:hAnsi="宋体" w:cs="宋体"/>
          <w:noProof/>
          <w:color w:val="484848"/>
          <w:kern w:val="0"/>
          <w:szCs w:val="21"/>
        </w:rPr>
        <w:drawing>
          <wp:inline distT="0" distB="0" distL="0" distR="0" wp14:anchorId="0E447528" wp14:editId="0C09DFFD">
            <wp:extent cx="5274310" cy="341947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4310" cy="3419475"/>
                    </a:xfrm>
                    <a:prstGeom prst="rect">
                      <a:avLst/>
                    </a:prstGeom>
                    <a:noFill/>
                    <a:ln>
                      <a:noFill/>
                    </a:ln>
                  </pic:spPr>
                </pic:pic>
              </a:graphicData>
            </a:graphic>
          </wp:inline>
        </w:drawing>
      </w:r>
    </w:p>
    <w:p w14:paraId="66205A4E" w14:textId="77777777" w:rsidR="006A44E5" w:rsidRPr="006A44E5" w:rsidRDefault="006A44E5" w:rsidP="006A44E5">
      <w:pPr>
        <w:widowControl/>
        <w:spacing w:before="180" w:after="180" w:line="420" w:lineRule="atLeast"/>
        <w:jc w:val="left"/>
        <w:rPr>
          <w:rFonts w:ascii="宋体" w:eastAsia="宋体" w:hAnsi="宋体" w:cs="宋体" w:hint="eastAsia"/>
          <w:color w:val="000000"/>
          <w:kern w:val="0"/>
          <w:szCs w:val="21"/>
        </w:rPr>
      </w:pPr>
      <w:r w:rsidRPr="006A44E5">
        <w:rPr>
          <w:rFonts w:ascii="宋体" w:eastAsia="宋体" w:hAnsi="宋体" w:cs="宋体" w:hint="eastAsia"/>
          <w:color w:val="000000"/>
          <w:kern w:val="0"/>
          <w:szCs w:val="21"/>
        </w:rPr>
        <w:t xml:space="preserve">　　而在20世纪四十年代，美国机构投资者占不到10%。1974年养老金的入市，是美股投资者结构变更的分水岭。大资金的流入，让市场更加偏向机构投资者之间的竞争。散户一方面可以通过养老金计划间接参与股市，另一面跟机构投资者相博弈几乎无竞争优势，所以逐渐退出舞台也是情理之中。</w:t>
      </w:r>
    </w:p>
    <w:p w14:paraId="023548B1" w14:textId="77777777" w:rsidR="006A44E5" w:rsidRPr="006A44E5" w:rsidRDefault="006A44E5" w:rsidP="006A44E5">
      <w:pPr>
        <w:widowControl/>
        <w:spacing w:before="180" w:after="180" w:line="420" w:lineRule="atLeast"/>
        <w:jc w:val="left"/>
        <w:rPr>
          <w:rFonts w:ascii="宋体" w:eastAsia="宋体" w:hAnsi="宋体" w:cs="宋体" w:hint="eastAsia"/>
          <w:color w:val="000000"/>
          <w:kern w:val="0"/>
          <w:szCs w:val="21"/>
        </w:rPr>
      </w:pPr>
      <w:r w:rsidRPr="006A44E5">
        <w:rPr>
          <w:rFonts w:ascii="宋体" w:eastAsia="宋体" w:hAnsi="宋体" w:cs="宋体" w:hint="eastAsia"/>
          <w:color w:val="000000"/>
          <w:kern w:val="0"/>
          <w:szCs w:val="21"/>
        </w:rPr>
        <w:t xml:space="preserve">　　机构投资者对上市企业的</w:t>
      </w:r>
      <w:hyperlink r:id="rId31" w:tgtFrame="_blank" w:history="1">
        <w:r w:rsidRPr="006A44E5">
          <w:rPr>
            <w:rFonts w:ascii="宋体" w:eastAsia="宋体" w:hAnsi="宋体" w:cs="宋体" w:hint="eastAsia"/>
            <w:color w:val="043396"/>
            <w:kern w:val="0"/>
            <w:szCs w:val="21"/>
            <w:u w:val="single"/>
          </w:rPr>
          <w:t>业绩</w:t>
        </w:r>
      </w:hyperlink>
      <w:r w:rsidRPr="006A44E5">
        <w:rPr>
          <w:rFonts w:ascii="宋体" w:eastAsia="宋体" w:hAnsi="宋体" w:cs="宋体" w:hint="eastAsia"/>
          <w:color w:val="000000"/>
          <w:kern w:val="0"/>
          <w:szCs w:val="21"/>
        </w:rPr>
        <w:t>和回报率很看重，因为这是投资安全的重要保障之一。“去散户化”的过程也是散户对机构投资者受托人责任的信任度提升，以及对总体资金回报率满意的过程。所以说，机构投资者占比已成为衡量一个股市是否成熟的标志之一——也只有这样的市场，</w:t>
      </w:r>
      <w:r w:rsidRPr="006A44E5">
        <w:rPr>
          <w:rFonts w:ascii="宋体" w:eastAsia="宋体" w:hAnsi="宋体" w:cs="宋体" w:hint="eastAsia"/>
          <w:b/>
          <w:bCs/>
          <w:color w:val="000000"/>
          <w:kern w:val="0"/>
          <w:szCs w:val="21"/>
        </w:rPr>
        <w:t>股市才会更理性、更从容、更具长期投资价值。</w:t>
      </w:r>
    </w:p>
    <w:p w14:paraId="5132666C" w14:textId="77777777" w:rsidR="006A44E5" w:rsidRPr="006A44E5" w:rsidRDefault="006A44E5" w:rsidP="006A44E5">
      <w:pPr>
        <w:widowControl/>
        <w:spacing w:before="180" w:after="180" w:line="420" w:lineRule="atLeast"/>
        <w:jc w:val="left"/>
        <w:rPr>
          <w:rFonts w:ascii="宋体" w:eastAsia="宋体" w:hAnsi="宋体" w:cs="宋体" w:hint="eastAsia"/>
          <w:color w:val="000000"/>
          <w:kern w:val="0"/>
          <w:szCs w:val="21"/>
        </w:rPr>
      </w:pPr>
      <w:r w:rsidRPr="006A44E5">
        <w:rPr>
          <w:rFonts w:ascii="宋体" w:eastAsia="宋体" w:hAnsi="宋体" w:cs="宋体" w:hint="eastAsia"/>
          <w:color w:val="000000"/>
          <w:kern w:val="0"/>
          <w:szCs w:val="21"/>
        </w:rPr>
        <w:t xml:space="preserve">　　</w:t>
      </w:r>
      <w:r w:rsidRPr="006A44E5">
        <w:rPr>
          <w:rFonts w:ascii="宋体" w:eastAsia="宋体" w:hAnsi="宋体" w:cs="宋体" w:hint="eastAsia"/>
          <w:b/>
          <w:bCs/>
          <w:color w:val="000000"/>
          <w:kern w:val="0"/>
          <w:szCs w:val="21"/>
        </w:rPr>
        <w:t>转折点</w:t>
      </w:r>
    </w:p>
    <w:p w14:paraId="159018F4" w14:textId="77777777" w:rsidR="006A44E5" w:rsidRPr="006A44E5" w:rsidRDefault="006A44E5" w:rsidP="006A44E5">
      <w:pPr>
        <w:widowControl/>
        <w:spacing w:before="180" w:after="180" w:line="420" w:lineRule="atLeast"/>
        <w:jc w:val="left"/>
        <w:rPr>
          <w:rFonts w:ascii="宋体" w:eastAsia="宋体" w:hAnsi="宋体" w:cs="宋体" w:hint="eastAsia"/>
          <w:color w:val="000000"/>
          <w:kern w:val="0"/>
          <w:szCs w:val="21"/>
        </w:rPr>
      </w:pPr>
      <w:r w:rsidRPr="006A44E5">
        <w:rPr>
          <w:rFonts w:ascii="宋体" w:eastAsia="宋体" w:hAnsi="宋体" w:cs="宋体" w:hint="eastAsia"/>
          <w:color w:val="000000"/>
          <w:kern w:val="0"/>
          <w:szCs w:val="21"/>
        </w:rPr>
        <w:t xml:space="preserve">　　分析了影响美股的几点重要因素后，面对10月份以来美股的暴跌(虽然近期略有反弹)，我们想弄清楚的是这是盛宴结束时最后的狂欢，还是短暂回调之后的继续高昂？</w:t>
      </w:r>
    </w:p>
    <w:p w14:paraId="5419F958" w14:textId="77777777" w:rsidR="006A44E5" w:rsidRPr="006A44E5" w:rsidRDefault="006A44E5" w:rsidP="006A44E5">
      <w:pPr>
        <w:widowControl/>
        <w:spacing w:before="180" w:after="180" w:line="420" w:lineRule="atLeast"/>
        <w:jc w:val="left"/>
        <w:rPr>
          <w:rFonts w:ascii="宋体" w:eastAsia="宋体" w:hAnsi="宋体" w:cs="宋体" w:hint="eastAsia"/>
          <w:color w:val="000000"/>
          <w:kern w:val="0"/>
          <w:szCs w:val="21"/>
        </w:rPr>
      </w:pPr>
      <w:r w:rsidRPr="006A44E5">
        <w:rPr>
          <w:rFonts w:ascii="宋体" w:eastAsia="宋体" w:hAnsi="宋体" w:cs="宋体" w:hint="eastAsia"/>
          <w:color w:val="000000"/>
          <w:kern w:val="0"/>
          <w:szCs w:val="21"/>
        </w:rPr>
        <w:t xml:space="preserve">　　我悲观地认为是前者。理由如下：</w:t>
      </w:r>
    </w:p>
    <w:p w14:paraId="037F815C" w14:textId="77777777" w:rsidR="006A44E5" w:rsidRPr="006A44E5" w:rsidRDefault="006A44E5" w:rsidP="006A44E5">
      <w:pPr>
        <w:widowControl/>
        <w:spacing w:before="180" w:after="180" w:line="420" w:lineRule="atLeast"/>
        <w:jc w:val="left"/>
        <w:rPr>
          <w:rFonts w:ascii="宋体" w:eastAsia="宋体" w:hAnsi="宋体" w:cs="宋体" w:hint="eastAsia"/>
          <w:color w:val="000000"/>
          <w:kern w:val="0"/>
          <w:szCs w:val="21"/>
        </w:rPr>
      </w:pPr>
      <w:r w:rsidRPr="006A44E5">
        <w:rPr>
          <w:rFonts w:ascii="宋体" w:eastAsia="宋体" w:hAnsi="宋体" w:cs="宋体" w:hint="eastAsia"/>
          <w:color w:val="000000"/>
          <w:kern w:val="0"/>
          <w:szCs w:val="21"/>
        </w:rPr>
        <w:t xml:space="preserve">　　一，</w:t>
      </w:r>
      <w:r w:rsidRPr="006A44E5">
        <w:rPr>
          <w:rFonts w:ascii="宋体" w:eastAsia="宋体" w:hAnsi="宋体" w:cs="宋体" w:hint="eastAsia"/>
          <w:b/>
          <w:bCs/>
          <w:color w:val="000000"/>
          <w:kern w:val="0"/>
          <w:szCs w:val="21"/>
        </w:rPr>
        <w:t>过去十年美国经济的复苏，靠的是宽松的货币政策。</w:t>
      </w:r>
      <w:r w:rsidRPr="006A44E5">
        <w:rPr>
          <w:rFonts w:ascii="宋体" w:eastAsia="宋体" w:hAnsi="宋体" w:cs="宋体" w:hint="eastAsia"/>
          <w:color w:val="000000"/>
          <w:kern w:val="0"/>
          <w:szCs w:val="21"/>
        </w:rPr>
        <w:t>如今，随着资产泡沫的不断增大，美联储不得不进入加息周期。历史上每一次美国进入</w:t>
      </w:r>
      <w:hyperlink r:id="rId32" w:tgtFrame="_blank" w:history="1">
        <w:r w:rsidRPr="006A44E5">
          <w:rPr>
            <w:rFonts w:ascii="宋体" w:eastAsia="宋体" w:hAnsi="宋体" w:cs="宋体" w:hint="eastAsia"/>
            <w:color w:val="043396"/>
            <w:kern w:val="0"/>
            <w:szCs w:val="21"/>
            <w:u w:val="single"/>
          </w:rPr>
          <w:t>信贷</w:t>
        </w:r>
      </w:hyperlink>
      <w:r w:rsidRPr="006A44E5">
        <w:rPr>
          <w:rFonts w:ascii="宋体" w:eastAsia="宋体" w:hAnsi="宋体" w:cs="宋体" w:hint="eastAsia"/>
          <w:color w:val="000000"/>
          <w:kern w:val="0"/>
          <w:szCs w:val="21"/>
        </w:rPr>
        <w:t>紧缩周期都会引起危机，我想这次也不会例外。</w:t>
      </w:r>
    </w:p>
    <w:p w14:paraId="4D925879" w14:textId="77777777" w:rsidR="006A44E5" w:rsidRPr="006A44E5" w:rsidRDefault="006A44E5" w:rsidP="006A44E5">
      <w:pPr>
        <w:widowControl/>
        <w:spacing w:before="180" w:after="180" w:line="420" w:lineRule="atLeast"/>
        <w:jc w:val="left"/>
        <w:rPr>
          <w:rFonts w:ascii="宋体" w:eastAsia="宋体" w:hAnsi="宋体" w:cs="宋体" w:hint="eastAsia"/>
          <w:color w:val="000000"/>
          <w:kern w:val="0"/>
          <w:szCs w:val="21"/>
        </w:rPr>
      </w:pPr>
      <w:r w:rsidRPr="006A44E5">
        <w:rPr>
          <w:rFonts w:ascii="宋体" w:eastAsia="宋体" w:hAnsi="宋体" w:cs="宋体" w:hint="eastAsia"/>
          <w:color w:val="000000"/>
          <w:kern w:val="0"/>
          <w:szCs w:val="21"/>
        </w:rPr>
        <w:t xml:space="preserve">　　二，以大周期角度看，互联网科技，是过去近50年推动全球经济发展的核心科技。然而到2018年，</w:t>
      </w:r>
      <w:r w:rsidRPr="006A44E5">
        <w:rPr>
          <w:rFonts w:ascii="宋体" w:eastAsia="宋体" w:hAnsi="宋体" w:cs="宋体" w:hint="eastAsia"/>
          <w:b/>
          <w:bCs/>
          <w:color w:val="000000"/>
          <w:kern w:val="0"/>
          <w:szCs w:val="21"/>
        </w:rPr>
        <w:t>互联网科技的发展已经到了顶峰，已经失去了最重要的成长性，走向衰落已是历史的必然。</w:t>
      </w:r>
      <w:r w:rsidRPr="006A44E5">
        <w:rPr>
          <w:rFonts w:ascii="宋体" w:eastAsia="宋体" w:hAnsi="宋体" w:cs="宋体" w:hint="eastAsia"/>
          <w:color w:val="000000"/>
          <w:kern w:val="0"/>
          <w:szCs w:val="21"/>
        </w:rPr>
        <w:t>四季度以来，FAANG距最高价跌去万亿美元市值即是印证。原有的产业扩张已到了极限，而新的爆发性产业还没形成，一旦互联网科技到顶，这是康德拉季耶夫级别的周期调整。</w:t>
      </w:r>
    </w:p>
    <w:p w14:paraId="025900B0" w14:textId="77777777" w:rsidR="006A44E5" w:rsidRPr="006A44E5" w:rsidRDefault="006A44E5" w:rsidP="006A44E5">
      <w:pPr>
        <w:widowControl/>
        <w:spacing w:before="180" w:after="180" w:line="420" w:lineRule="atLeast"/>
        <w:jc w:val="left"/>
        <w:rPr>
          <w:rFonts w:ascii="宋体" w:eastAsia="宋体" w:hAnsi="宋体" w:cs="宋体" w:hint="eastAsia"/>
          <w:color w:val="000000"/>
          <w:kern w:val="0"/>
          <w:szCs w:val="21"/>
        </w:rPr>
      </w:pPr>
      <w:r w:rsidRPr="006A44E5">
        <w:rPr>
          <w:rFonts w:ascii="宋体" w:eastAsia="宋体" w:hAnsi="宋体" w:cs="宋体" w:hint="eastAsia"/>
          <w:color w:val="000000"/>
          <w:kern w:val="0"/>
          <w:szCs w:val="21"/>
        </w:rPr>
        <w:t xml:space="preserve">　　三，从市场角度来看，当前股票估值是2011年来历史高位，收益率曲线逐步趋平，经济增速高位筑顶叠加加息带来的资产估值调整风险不容小觑。美国企业利润增速见顶回落，以及制造业</w:t>
      </w:r>
      <w:hyperlink r:id="rId33" w:tgtFrame="_blank" w:history="1">
        <w:r w:rsidRPr="006A44E5">
          <w:rPr>
            <w:rFonts w:ascii="宋体" w:eastAsia="宋体" w:hAnsi="宋体" w:cs="宋体" w:hint="eastAsia"/>
            <w:color w:val="043396"/>
            <w:kern w:val="0"/>
            <w:szCs w:val="21"/>
            <w:u w:val="single"/>
          </w:rPr>
          <w:t>PMI</w:t>
        </w:r>
      </w:hyperlink>
      <w:r w:rsidRPr="006A44E5">
        <w:rPr>
          <w:rFonts w:ascii="宋体" w:eastAsia="宋体" w:hAnsi="宋体" w:cs="宋体" w:hint="eastAsia"/>
          <w:color w:val="000000"/>
          <w:kern w:val="0"/>
          <w:szCs w:val="21"/>
        </w:rPr>
        <w:t>新订单指数和库存指数的逐步下滑，均能反映美国经济进入周期尾端美国企业盈利增长困难。</w:t>
      </w:r>
      <w:r w:rsidRPr="006A44E5">
        <w:rPr>
          <w:rFonts w:ascii="宋体" w:eastAsia="宋体" w:hAnsi="宋体" w:cs="宋体" w:hint="eastAsia"/>
          <w:b/>
          <w:bCs/>
          <w:color w:val="000000"/>
          <w:kern w:val="0"/>
          <w:szCs w:val="21"/>
        </w:rPr>
        <w:t>盈利如果逐渐被杀的话，估值就会越来越高。</w:t>
      </w:r>
    </w:p>
    <w:p w14:paraId="2B7C148A" w14:textId="77777777" w:rsidR="006A44E5" w:rsidRPr="006A44E5" w:rsidRDefault="006A44E5" w:rsidP="006A44E5">
      <w:pPr>
        <w:widowControl/>
        <w:spacing w:before="180" w:after="180" w:line="420" w:lineRule="atLeast"/>
        <w:jc w:val="left"/>
        <w:rPr>
          <w:rFonts w:ascii="宋体" w:eastAsia="宋体" w:hAnsi="宋体" w:cs="宋体" w:hint="eastAsia"/>
          <w:color w:val="000000"/>
          <w:kern w:val="0"/>
          <w:szCs w:val="21"/>
        </w:rPr>
      </w:pPr>
      <w:r w:rsidRPr="006A44E5">
        <w:rPr>
          <w:rFonts w:ascii="宋体" w:eastAsia="宋体" w:hAnsi="宋体" w:cs="宋体" w:hint="eastAsia"/>
          <w:color w:val="000000"/>
          <w:kern w:val="0"/>
          <w:szCs w:val="21"/>
        </w:rPr>
        <w:t xml:space="preserve">　　</w:t>
      </w:r>
      <w:r w:rsidRPr="006A44E5">
        <w:rPr>
          <w:rFonts w:ascii="宋体" w:eastAsia="宋体" w:hAnsi="宋体" w:cs="宋体" w:hint="eastAsia"/>
          <w:b/>
          <w:bCs/>
          <w:color w:val="000000"/>
          <w:kern w:val="0"/>
          <w:szCs w:val="21"/>
        </w:rPr>
        <w:t>四，收益率曲线逐步趋平，利率倒挂，反映市场对美国经济长期预期不佳。</w:t>
      </w:r>
      <w:r w:rsidRPr="006A44E5">
        <w:rPr>
          <w:rFonts w:ascii="宋体" w:eastAsia="宋体" w:hAnsi="宋体" w:cs="宋体" w:hint="eastAsia"/>
          <w:color w:val="000000"/>
          <w:kern w:val="0"/>
          <w:szCs w:val="21"/>
        </w:rPr>
        <w:t>一般情况下短端利率反映市场流动性充裕度，而长端利率反映市场对未来经济形势判断，当前美债期限利差正快速缩小，具体表现为短期利率快速上行，而长端利率上行缓慢，反映当前市场流动性收紧、通胀预期抬升、以及对美国未来经济形势的担忧。</w:t>
      </w:r>
    </w:p>
    <w:p w14:paraId="522CB93E" w14:textId="77777777" w:rsidR="006A44E5" w:rsidRPr="006A44E5" w:rsidRDefault="006A44E5" w:rsidP="006A44E5">
      <w:pPr>
        <w:widowControl/>
        <w:spacing w:before="180" w:after="180" w:line="420" w:lineRule="atLeast"/>
        <w:jc w:val="left"/>
        <w:rPr>
          <w:rFonts w:ascii="宋体" w:eastAsia="宋体" w:hAnsi="宋体" w:cs="宋体" w:hint="eastAsia"/>
          <w:color w:val="000000"/>
          <w:kern w:val="0"/>
          <w:szCs w:val="21"/>
        </w:rPr>
      </w:pPr>
      <w:r w:rsidRPr="006A44E5">
        <w:rPr>
          <w:rFonts w:ascii="宋体" w:eastAsia="宋体" w:hAnsi="宋体" w:cs="宋体" w:hint="eastAsia"/>
          <w:color w:val="000000"/>
          <w:kern w:val="0"/>
          <w:szCs w:val="21"/>
        </w:rPr>
        <w:t xml:space="preserve">　　</w:t>
      </w:r>
      <w:r w:rsidRPr="006A44E5">
        <w:rPr>
          <w:rFonts w:ascii="宋体" w:eastAsia="宋体" w:hAnsi="宋体" w:cs="宋体" w:hint="eastAsia"/>
          <w:b/>
          <w:bCs/>
          <w:color w:val="000000"/>
          <w:kern w:val="0"/>
          <w:szCs w:val="21"/>
        </w:rPr>
        <w:t>总而言之，周期轮回，人性不变。</w:t>
      </w:r>
      <w:r w:rsidRPr="006A44E5">
        <w:rPr>
          <w:rFonts w:ascii="宋体" w:eastAsia="宋体" w:hAnsi="宋体" w:cs="宋体" w:hint="eastAsia"/>
          <w:color w:val="000000"/>
          <w:kern w:val="0"/>
          <w:szCs w:val="21"/>
        </w:rPr>
        <w:t>当音乐停止之后，便是凛冬。希望大家早日认清趋势、调整布局的同时，能够左手温暖右手挺过寒冷。</w:t>
      </w:r>
    </w:p>
    <w:p w14:paraId="58659FCD" w14:textId="77777777" w:rsidR="00D25CD3" w:rsidRPr="006A44E5" w:rsidRDefault="00D25CD3"/>
    <w:sectPr w:rsidR="00D25CD3" w:rsidRPr="006A44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4E5"/>
    <w:rsid w:val="006A44E5"/>
    <w:rsid w:val="00D25C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64713"/>
  <w15:chartTrackingRefBased/>
  <w15:docId w15:val="{F5491014-A0BD-4111-91C2-BFF7FEA8D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6A44E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A44E5"/>
    <w:rPr>
      <w:rFonts w:ascii="宋体" w:eastAsia="宋体" w:hAnsi="宋体" w:cs="宋体"/>
      <w:b/>
      <w:bCs/>
      <w:kern w:val="36"/>
      <w:sz w:val="48"/>
      <w:szCs w:val="48"/>
    </w:rPr>
  </w:style>
  <w:style w:type="character" w:styleId="a3">
    <w:name w:val="Hyperlink"/>
    <w:basedOn w:val="a0"/>
    <w:uiPriority w:val="99"/>
    <w:semiHidden/>
    <w:unhideWhenUsed/>
    <w:rsid w:val="006A44E5"/>
    <w:rPr>
      <w:color w:val="0000FF"/>
      <w:u w:val="single"/>
    </w:rPr>
  </w:style>
  <w:style w:type="character" w:styleId="a4">
    <w:name w:val="Emphasis"/>
    <w:basedOn w:val="a0"/>
    <w:uiPriority w:val="20"/>
    <w:qFormat/>
    <w:rsid w:val="006A44E5"/>
    <w:rPr>
      <w:i/>
      <w:iCs/>
    </w:rPr>
  </w:style>
  <w:style w:type="character" w:customStyle="1" w:styleId="num">
    <w:name w:val="num"/>
    <w:basedOn w:val="a0"/>
    <w:rsid w:val="006A44E5"/>
  </w:style>
  <w:style w:type="paragraph" w:styleId="a5">
    <w:name w:val="Normal (Web)"/>
    <w:basedOn w:val="a"/>
    <w:uiPriority w:val="99"/>
    <w:semiHidden/>
    <w:unhideWhenUsed/>
    <w:rsid w:val="006A44E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6A44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3764198">
      <w:bodyDiv w:val="1"/>
      <w:marLeft w:val="0"/>
      <w:marRight w:val="0"/>
      <w:marTop w:val="0"/>
      <w:marBottom w:val="0"/>
      <w:divBdr>
        <w:top w:val="none" w:sz="0" w:space="0" w:color="auto"/>
        <w:left w:val="none" w:sz="0" w:space="0" w:color="auto"/>
        <w:bottom w:val="none" w:sz="0" w:space="0" w:color="auto"/>
        <w:right w:val="none" w:sz="0" w:space="0" w:color="auto"/>
      </w:divBdr>
      <w:divsChild>
        <w:div w:id="585069478">
          <w:marLeft w:val="0"/>
          <w:marRight w:val="0"/>
          <w:marTop w:val="0"/>
          <w:marBottom w:val="150"/>
          <w:divBdr>
            <w:top w:val="none" w:sz="0" w:space="0" w:color="auto"/>
            <w:left w:val="none" w:sz="0" w:space="0" w:color="auto"/>
            <w:bottom w:val="none" w:sz="0" w:space="0" w:color="auto"/>
            <w:right w:val="none" w:sz="0" w:space="0" w:color="auto"/>
          </w:divBdr>
          <w:divsChild>
            <w:div w:id="1148981804">
              <w:marLeft w:val="150"/>
              <w:marRight w:val="0"/>
              <w:marTop w:val="0"/>
              <w:marBottom w:val="0"/>
              <w:divBdr>
                <w:top w:val="none" w:sz="0" w:space="0" w:color="auto"/>
                <w:left w:val="none" w:sz="0" w:space="0" w:color="auto"/>
                <w:bottom w:val="none" w:sz="0" w:space="0" w:color="auto"/>
                <w:right w:val="none" w:sz="0" w:space="0" w:color="auto"/>
              </w:divBdr>
              <w:divsChild>
                <w:div w:id="229968159">
                  <w:marLeft w:val="0"/>
                  <w:marRight w:val="0"/>
                  <w:marTop w:val="0"/>
                  <w:marBottom w:val="0"/>
                  <w:divBdr>
                    <w:top w:val="none" w:sz="0" w:space="0" w:color="auto"/>
                    <w:left w:val="none" w:sz="0" w:space="0" w:color="auto"/>
                    <w:bottom w:val="none" w:sz="0" w:space="0" w:color="auto"/>
                    <w:right w:val="none" w:sz="0" w:space="0" w:color="auto"/>
                  </w:divBdr>
                </w:div>
                <w:div w:id="1871870743">
                  <w:marLeft w:val="150"/>
                  <w:marRight w:val="150"/>
                  <w:marTop w:val="0"/>
                  <w:marBottom w:val="0"/>
                  <w:divBdr>
                    <w:top w:val="none" w:sz="0" w:space="0" w:color="auto"/>
                    <w:left w:val="none" w:sz="0" w:space="0" w:color="auto"/>
                    <w:bottom w:val="none" w:sz="0" w:space="0" w:color="auto"/>
                    <w:right w:val="none" w:sz="0" w:space="0" w:color="auto"/>
                  </w:divBdr>
                </w:div>
              </w:divsChild>
            </w:div>
            <w:div w:id="1486049006">
              <w:marLeft w:val="0"/>
              <w:marRight w:val="0"/>
              <w:marTop w:val="0"/>
              <w:marBottom w:val="0"/>
              <w:divBdr>
                <w:top w:val="none" w:sz="0" w:space="0" w:color="auto"/>
                <w:left w:val="none" w:sz="0" w:space="0" w:color="auto"/>
                <w:bottom w:val="none" w:sz="0" w:space="0" w:color="auto"/>
                <w:right w:val="none" w:sz="0" w:space="0" w:color="auto"/>
              </w:divBdr>
              <w:divsChild>
                <w:div w:id="65839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135715">
          <w:marLeft w:val="0"/>
          <w:marRight w:val="0"/>
          <w:marTop w:val="0"/>
          <w:marBottom w:val="0"/>
          <w:divBdr>
            <w:top w:val="none" w:sz="0" w:space="0" w:color="auto"/>
            <w:left w:val="none" w:sz="0" w:space="0" w:color="auto"/>
            <w:bottom w:val="single" w:sz="6" w:space="0" w:color="E5E5E5"/>
            <w:right w:val="none" w:sz="0" w:space="0" w:color="auto"/>
          </w:divBdr>
          <w:divsChild>
            <w:div w:id="1351253349">
              <w:marLeft w:val="0"/>
              <w:marRight w:val="0"/>
              <w:marTop w:val="0"/>
              <w:marBottom w:val="0"/>
              <w:divBdr>
                <w:top w:val="none" w:sz="0" w:space="0" w:color="auto"/>
                <w:left w:val="none" w:sz="0" w:space="0" w:color="auto"/>
                <w:bottom w:val="none" w:sz="0" w:space="0" w:color="auto"/>
                <w:right w:val="none" w:sz="0" w:space="0" w:color="auto"/>
              </w:divBdr>
              <w:divsChild>
                <w:div w:id="164831583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359937543">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cttg.eastmoney.com/pub/web_nr_zxzwy_btx_01_01_01_0" TargetMode="External"/><Relationship Id="rId13" Type="http://schemas.openxmlformats.org/officeDocument/2006/relationships/hyperlink" Target="http://data.eastmoney.com/gpzy/" TargetMode="External"/><Relationship Id="rId18" Type="http://schemas.openxmlformats.org/officeDocument/2006/relationships/image" Target="media/image2.jpeg"/><Relationship Id="rId26" Type="http://schemas.openxmlformats.org/officeDocument/2006/relationships/hyperlink" Target="http://data.eastmoney.com/cjsj/gdp.html" TargetMode="External"/><Relationship Id="rId3" Type="http://schemas.openxmlformats.org/officeDocument/2006/relationships/webSettings" Target="webSettings.xml"/><Relationship Id="rId21" Type="http://schemas.openxmlformats.org/officeDocument/2006/relationships/hyperlink" Target="http://data.eastmoney.com/cjsj/yhll.html" TargetMode="External"/><Relationship Id="rId34" Type="http://schemas.openxmlformats.org/officeDocument/2006/relationships/fontTable" Target="fontTable.xml"/><Relationship Id="rId7" Type="http://schemas.openxmlformats.org/officeDocument/2006/relationships/hyperlink" Target="javascript:void(0);" TargetMode="External"/><Relationship Id="rId12" Type="http://schemas.openxmlformats.org/officeDocument/2006/relationships/hyperlink" Target="http://data.eastmoney.com/zjlx/" TargetMode="External"/><Relationship Id="rId17" Type="http://schemas.openxmlformats.org/officeDocument/2006/relationships/hyperlink" Target="http://data.eastmoney.com/cjsj/newhouse.html" TargetMode="External"/><Relationship Id="rId25" Type="http://schemas.openxmlformats.org/officeDocument/2006/relationships/hyperlink" Target="http://data.eastmoney.com/cjsj/cpi.html" TargetMode="External"/><Relationship Id="rId33" Type="http://schemas.openxmlformats.org/officeDocument/2006/relationships/hyperlink" Target="http://data.eastmoney.com/cjsj/pmi.html" TargetMode="External"/><Relationship Id="rId2" Type="http://schemas.openxmlformats.org/officeDocument/2006/relationships/settings" Target="settings.xml"/><Relationship Id="rId16" Type="http://schemas.openxmlformats.org/officeDocument/2006/relationships/hyperlink" Target="http://data.eastmoney.com/cjsj/hbgyl.html" TargetMode="External"/><Relationship Id="rId20" Type="http://schemas.openxmlformats.org/officeDocument/2006/relationships/image" Target="media/image4.jpeg"/><Relationship Id="rId29" Type="http://schemas.openxmlformats.org/officeDocument/2006/relationships/image" Target="media/image8.jpeg"/><Relationship Id="rId1" Type="http://schemas.openxmlformats.org/officeDocument/2006/relationships/styles" Target="styles.xml"/><Relationship Id="rId6" Type="http://schemas.openxmlformats.org/officeDocument/2006/relationships/hyperlink" Target="http://finance.eastmoney.com/a/201901081022406123.html" TargetMode="External"/><Relationship Id="rId11" Type="http://schemas.openxmlformats.org/officeDocument/2006/relationships/hyperlink" Target="http://data.eastmoney.com/zlsj/" TargetMode="External"/><Relationship Id="rId24" Type="http://schemas.openxmlformats.org/officeDocument/2006/relationships/image" Target="media/image6.jpeg"/><Relationship Id="rId32" Type="http://schemas.openxmlformats.org/officeDocument/2006/relationships/hyperlink" Target="http://data.eastmoney.com/cjsj/xzxd.html" TargetMode="External"/><Relationship Id="rId5" Type="http://schemas.openxmlformats.org/officeDocument/2006/relationships/hyperlink" Target="http://guba.eastmoney.com/news,cjpl,800691277.html" TargetMode="External"/><Relationship Id="rId15" Type="http://schemas.openxmlformats.org/officeDocument/2006/relationships/hyperlink" Target="http://data.eastmoney.com/xg/xg/default.html" TargetMode="External"/><Relationship Id="rId23" Type="http://schemas.openxmlformats.org/officeDocument/2006/relationships/image" Target="media/image5.jpeg"/><Relationship Id="rId28" Type="http://schemas.openxmlformats.org/officeDocument/2006/relationships/hyperlink" Target="http://data.eastmoney.com/gdfx/" TargetMode="External"/><Relationship Id="rId10" Type="http://schemas.openxmlformats.org/officeDocument/2006/relationships/image" Target="media/image1.jpeg"/><Relationship Id="rId19" Type="http://schemas.openxmlformats.org/officeDocument/2006/relationships/image" Target="media/image3.jpeg"/><Relationship Id="rId31" Type="http://schemas.openxmlformats.org/officeDocument/2006/relationships/hyperlink" Target="http://data.eastmoney.com/bbsj/" TargetMode="External"/><Relationship Id="rId4" Type="http://schemas.openxmlformats.org/officeDocument/2006/relationships/hyperlink" Target="http://jigou.eastmoney.com/gelonghui/index.html" TargetMode="External"/><Relationship Id="rId9" Type="http://schemas.openxmlformats.org/officeDocument/2006/relationships/hyperlink" Target="https://zqhd.eastmoney.com/Html/aghd/pc/20170918/html/activity2.html" TargetMode="External"/><Relationship Id="rId14" Type="http://schemas.openxmlformats.org/officeDocument/2006/relationships/hyperlink" Target="http://data.eastmoney.com/executive/" TargetMode="External"/><Relationship Id="rId22" Type="http://schemas.openxmlformats.org/officeDocument/2006/relationships/hyperlink" Target="http://data.eastmoney.com/cjsj/yhll.html" TargetMode="External"/><Relationship Id="rId27" Type="http://schemas.openxmlformats.org/officeDocument/2006/relationships/image" Target="media/image7.jpeg"/><Relationship Id="rId30" Type="http://schemas.openxmlformats.org/officeDocument/2006/relationships/image" Target="media/image9.jpe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1002</Words>
  <Characters>5715</Characters>
  <Application>Microsoft Office Word</Application>
  <DocSecurity>0</DocSecurity>
  <Lines>47</Lines>
  <Paragraphs>13</Paragraphs>
  <ScaleCrop>false</ScaleCrop>
  <Company/>
  <LinksUpToDate>false</LinksUpToDate>
  <CharactersWithSpaces>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jun</dc:creator>
  <cp:keywords/>
  <dc:description/>
  <cp:lastModifiedBy>tian jun</cp:lastModifiedBy>
  <cp:revision>1</cp:revision>
  <dcterms:created xsi:type="dcterms:W3CDTF">2020-10-11T12:55:00Z</dcterms:created>
  <dcterms:modified xsi:type="dcterms:W3CDTF">2020-10-11T12:56:00Z</dcterms:modified>
</cp:coreProperties>
</file>