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4EBD" w:rsidRPr="000A4EBD" w:rsidRDefault="000A4EBD" w:rsidP="000A4EBD">
      <w:pPr>
        <w:widowControl/>
        <w:shd w:val="clear" w:color="auto" w:fill="FFFFFF"/>
        <w:wordWrap w:val="0"/>
        <w:spacing w:line="304" w:lineRule="atLeast"/>
        <w:jc w:val="left"/>
        <w:rPr>
          <w:rFonts w:ascii="simsun" w:eastAsia="宋体" w:hAnsi="simsun" w:cs="宋体"/>
          <w:b/>
          <w:bCs/>
          <w:color w:val="333333"/>
          <w:kern w:val="0"/>
          <w:sz w:val="22"/>
        </w:rPr>
      </w:pPr>
      <w:r w:rsidRPr="000A4EBD">
        <w:rPr>
          <w:rFonts w:ascii="simsun" w:eastAsia="宋体" w:hAnsi="simsun" w:cs="宋体"/>
          <w:b/>
          <w:bCs/>
          <w:color w:val="333333"/>
          <w:kern w:val="0"/>
          <w:sz w:val="22"/>
        </w:rPr>
        <w:t>为什么你在股市上挣不到钱？</w:t>
      </w:r>
    </w:p>
    <w:p w:rsidR="000A4EBD" w:rsidRPr="000A4EBD" w:rsidRDefault="000A4EBD" w:rsidP="000A4EBD">
      <w:pPr>
        <w:widowControl/>
        <w:shd w:val="clear" w:color="auto" w:fill="FFFFFF"/>
        <w:wordWrap w:val="0"/>
        <w:spacing w:line="314" w:lineRule="atLeast"/>
        <w:jc w:val="left"/>
        <w:rPr>
          <w:rFonts w:ascii="simsun" w:eastAsia="宋体" w:hAnsi="simsun" w:cs="宋体"/>
          <w:color w:val="333333"/>
          <w:kern w:val="0"/>
          <w:sz w:val="19"/>
          <w:szCs w:val="19"/>
        </w:rPr>
      </w:pPr>
      <w:proofErr w:type="gramStart"/>
      <w:r w:rsidRPr="000A4EBD">
        <w:rPr>
          <w:rFonts w:ascii="simsun" w:eastAsia="宋体" w:hAnsi="simsun" w:cs="宋体"/>
          <w:color w:val="333333"/>
          <w:kern w:val="0"/>
          <w:sz w:val="19"/>
          <w:szCs w:val="19"/>
        </w:rPr>
        <w:t>一</w:t>
      </w:r>
      <w:proofErr w:type="gramEnd"/>
      <w:r w:rsidRPr="000A4EBD">
        <w:rPr>
          <w:rFonts w:ascii="simsun" w:eastAsia="宋体" w:hAnsi="simsun" w:cs="宋体"/>
          <w:color w:val="333333"/>
          <w:kern w:val="0"/>
          <w:sz w:val="19"/>
          <w:szCs w:val="19"/>
        </w:rPr>
        <w:t>，你的本金太少</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br/>
      </w:r>
      <w:r>
        <w:rPr>
          <w:rFonts w:ascii="simsun" w:eastAsia="宋体" w:hAnsi="simsun" w:cs="宋体" w:hint="eastAsia"/>
          <w:noProof/>
          <w:color w:val="333333"/>
          <w:kern w:val="0"/>
          <w:sz w:val="19"/>
          <w:szCs w:val="19"/>
        </w:rPr>
        <w:drawing>
          <wp:inline distT="0" distB="0" distL="0" distR="0">
            <wp:extent cx="14613255" cy="6210935"/>
            <wp:effectExtent l="19050" t="0" r="0" b="0"/>
            <wp:docPr id="1" name="图片 1" descr="http://gbres.dfcfw.com/Files/picture/20170106/E2B21D46138193545B3FE91A568613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bres.dfcfw.com/Files/picture/20170106/E2B21D46138193545B3FE91A5686136D.png"/>
                    <pic:cNvPicPr>
                      <a:picLocks noChangeAspect="1" noChangeArrowheads="1"/>
                    </pic:cNvPicPr>
                  </pic:nvPicPr>
                  <pic:blipFill>
                    <a:blip r:embed="rId4"/>
                    <a:srcRect/>
                    <a:stretch>
                      <a:fillRect/>
                    </a:stretch>
                  </pic:blipFill>
                  <pic:spPr bwMode="auto">
                    <a:xfrm>
                      <a:off x="0" y="0"/>
                      <a:ext cx="14613255" cy="6210935"/>
                    </a:xfrm>
                    <a:prstGeom prst="rect">
                      <a:avLst/>
                    </a:prstGeom>
                    <a:noFill/>
                    <a:ln w="9525">
                      <a:noFill/>
                      <a:miter lim="800000"/>
                      <a:headEnd/>
                      <a:tailEnd/>
                    </a:ln>
                  </pic:spPr>
                </pic:pic>
              </a:graphicData>
            </a:graphic>
          </wp:inline>
        </w:drawing>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增加本金的办法，请到贵司总裁办公室咨询。</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二，你对投资回报率有不切实际的预期</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你希望自己</w:t>
      </w:r>
      <w:proofErr w:type="gramStart"/>
      <w:r w:rsidRPr="000A4EBD">
        <w:rPr>
          <w:rFonts w:ascii="simsun" w:eastAsia="宋体" w:hAnsi="simsun" w:cs="宋体"/>
          <w:color w:val="333333"/>
          <w:kern w:val="0"/>
          <w:sz w:val="19"/>
          <w:szCs w:val="19"/>
        </w:rPr>
        <w:t>的年化回报率</w:t>
      </w:r>
      <w:proofErr w:type="gramEnd"/>
      <w:r w:rsidRPr="000A4EBD">
        <w:rPr>
          <w:rFonts w:ascii="simsun" w:eastAsia="宋体" w:hAnsi="simsun" w:cs="宋体"/>
          <w:color w:val="333333"/>
          <w:kern w:val="0"/>
          <w:sz w:val="19"/>
          <w:szCs w:val="19"/>
        </w:rPr>
        <w:t>是多少？</w:t>
      </w:r>
      <w:r w:rsidRPr="000A4EBD">
        <w:rPr>
          <w:rFonts w:ascii="simsun" w:eastAsia="宋体" w:hAnsi="simsun" w:cs="宋体"/>
          <w:color w:val="333333"/>
          <w:kern w:val="0"/>
          <w:sz w:val="19"/>
          <w:szCs w:val="19"/>
        </w:rPr>
        <w:br/>
      </w:r>
      <w:r>
        <w:rPr>
          <w:rFonts w:ascii="simsun" w:eastAsia="宋体" w:hAnsi="simsun" w:cs="宋体" w:hint="eastAsia"/>
          <w:noProof/>
          <w:color w:val="333333"/>
          <w:kern w:val="0"/>
          <w:sz w:val="19"/>
          <w:szCs w:val="19"/>
        </w:rPr>
        <w:lastRenderedPageBreak/>
        <w:drawing>
          <wp:inline distT="0" distB="0" distL="0" distR="0">
            <wp:extent cx="14112875" cy="5520690"/>
            <wp:effectExtent l="19050" t="0" r="3175" b="0"/>
            <wp:docPr id="2" name="图片 2" descr="http://gbres.dfcfw.com/Files/picture/20170106/BE280BF2B843ACDF99C5322C888BA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bres.dfcfw.com/Files/picture/20170106/BE280BF2B843ACDF99C5322C888BAD0F.png"/>
                    <pic:cNvPicPr>
                      <a:picLocks noChangeAspect="1" noChangeArrowheads="1"/>
                    </pic:cNvPicPr>
                  </pic:nvPicPr>
                  <pic:blipFill>
                    <a:blip r:embed="rId5"/>
                    <a:srcRect/>
                    <a:stretch>
                      <a:fillRect/>
                    </a:stretch>
                  </pic:blipFill>
                  <pic:spPr bwMode="auto">
                    <a:xfrm>
                      <a:off x="0" y="0"/>
                      <a:ext cx="14112875" cy="5520690"/>
                    </a:xfrm>
                    <a:prstGeom prst="rect">
                      <a:avLst/>
                    </a:prstGeom>
                    <a:noFill/>
                    <a:ln w="9525">
                      <a:noFill/>
                      <a:miter lim="800000"/>
                      <a:headEnd/>
                      <a:tailEnd/>
                    </a:ln>
                  </pic:spPr>
                </pic:pic>
              </a:graphicData>
            </a:graphic>
          </wp:inline>
        </w:drawing>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上图是四名全球顶尖的投资大师</w:t>
      </w:r>
      <w:proofErr w:type="gramStart"/>
      <w:r w:rsidRPr="000A4EBD">
        <w:rPr>
          <w:rFonts w:ascii="simsun" w:eastAsia="宋体" w:hAnsi="simsun" w:cs="宋体"/>
          <w:color w:val="333333"/>
          <w:kern w:val="0"/>
          <w:sz w:val="19"/>
          <w:szCs w:val="19"/>
        </w:rPr>
        <w:t>的年化回报率</w:t>
      </w:r>
      <w:proofErr w:type="gramEnd"/>
      <w:r w:rsidRPr="000A4EBD">
        <w:rPr>
          <w:rFonts w:ascii="simsun" w:eastAsia="宋体" w:hAnsi="simsun" w:cs="宋体"/>
          <w:color w:val="333333"/>
          <w:kern w:val="0"/>
          <w:sz w:val="19"/>
          <w:szCs w:val="19"/>
        </w:rPr>
        <w:t>，你能跑赢他们吗？</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如果你说能，那么有两种可能：你是一名被世界遗忘的天才；你对自己的认知与客观事实有很大偏差。</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不切实际的预期往往是杯具的根源。在投资上，过高的回报预期导致的通常是频繁交易，希望抓住每一次上涨，避免每一次下跌，结果不但没有实现预期的目标，反而让交易费把本金割掉了。</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归根结底，投资者长期的平均回报，很难超越投资标的</w:t>
      </w:r>
      <w:proofErr w:type="gramStart"/>
      <w:r w:rsidRPr="000A4EBD">
        <w:rPr>
          <w:rFonts w:ascii="simsun" w:eastAsia="宋体" w:hAnsi="simsun" w:cs="宋体"/>
          <w:color w:val="333333"/>
          <w:kern w:val="0"/>
          <w:sz w:val="19"/>
          <w:szCs w:val="19"/>
        </w:rPr>
        <w:t>的</w:t>
      </w:r>
      <w:proofErr w:type="gramEnd"/>
      <w:r w:rsidRPr="000A4EBD">
        <w:rPr>
          <w:rFonts w:ascii="simsun" w:eastAsia="宋体" w:hAnsi="simsun" w:cs="宋体"/>
          <w:color w:val="333333"/>
          <w:kern w:val="0"/>
          <w:sz w:val="19"/>
          <w:szCs w:val="19"/>
        </w:rPr>
        <w:t>净资产回报率减去磨擦成本。上市公司的净资产回报率，中位数在</w:t>
      </w:r>
      <w:r w:rsidRPr="000A4EBD">
        <w:rPr>
          <w:rFonts w:ascii="simsun" w:eastAsia="宋体" w:hAnsi="simsun" w:cs="宋体"/>
          <w:color w:val="333333"/>
          <w:kern w:val="0"/>
          <w:sz w:val="19"/>
          <w:szCs w:val="19"/>
        </w:rPr>
        <w:t>8-12%</w:t>
      </w:r>
      <w:r w:rsidRPr="000A4EBD">
        <w:rPr>
          <w:rFonts w:ascii="simsun" w:eastAsia="宋体" w:hAnsi="simsun" w:cs="宋体"/>
          <w:color w:val="333333"/>
          <w:kern w:val="0"/>
          <w:sz w:val="19"/>
          <w:szCs w:val="19"/>
        </w:rPr>
        <w:t>。</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建立在现实的（不那么性感的）回报率上的投资行为有意义吗？</w:t>
      </w:r>
      <w:r w:rsidRPr="000A4EBD">
        <w:rPr>
          <w:rFonts w:ascii="simsun" w:eastAsia="宋体" w:hAnsi="simsun" w:cs="宋体"/>
          <w:color w:val="333333"/>
          <w:kern w:val="0"/>
          <w:sz w:val="19"/>
          <w:szCs w:val="19"/>
        </w:rPr>
        <w:br/>
      </w:r>
      <w:r>
        <w:rPr>
          <w:rFonts w:ascii="simsun" w:eastAsia="宋体" w:hAnsi="simsun" w:cs="宋体" w:hint="eastAsia"/>
          <w:noProof/>
          <w:color w:val="333333"/>
          <w:kern w:val="0"/>
          <w:sz w:val="19"/>
          <w:szCs w:val="19"/>
        </w:rPr>
        <w:lastRenderedPageBreak/>
        <w:drawing>
          <wp:inline distT="0" distB="0" distL="0" distR="0">
            <wp:extent cx="13336270" cy="4511675"/>
            <wp:effectExtent l="19050" t="0" r="0" b="0"/>
            <wp:docPr id="3" name="图片 3" descr="http://gbres.dfcfw.com/Files/picture/20170106/D6418D1D470BAFE98A4E38FF8C43EF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bres.dfcfw.com/Files/picture/20170106/D6418D1D470BAFE98A4E38FF8C43EF7B.png"/>
                    <pic:cNvPicPr>
                      <a:picLocks noChangeAspect="1" noChangeArrowheads="1"/>
                    </pic:cNvPicPr>
                  </pic:nvPicPr>
                  <pic:blipFill>
                    <a:blip r:embed="rId6"/>
                    <a:srcRect/>
                    <a:stretch>
                      <a:fillRect/>
                    </a:stretch>
                  </pic:blipFill>
                  <pic:spPr bwMode="auto">
                    <a:xfrm>
                      <a:off x="0" y="0"/>
                      <a:ext cx="13336270" cy="4511675"/>
                    </a:xfrm>
                    <a:prstGeom prst="rect">
                      <a:avLst/>
                    </a:prstGeom>
                    <a:noFill/>
                    <a:ln w="9525">
                      <a:noFill/>
                      <a:miter lim="800000"/>
                      <a:headEnd/>
                      <a:tailEnd/>
                    </a:ln>
                  </pic:spPr>
                </pic:pic>
              </a:graphicData>
            </a:graphic>
          </wp:inline>
        </w:drawing>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结论是：有！</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三，你做了错误的事情</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br/>
        <w:t>1,</w:t>
      </w:r>
      <w:r w:rsidRPr="000A4EBD">
        <w:rPr>
          <w:rFonts w:ascii="simsun" w:eastAsia="宋体" w:hAnsi="simsun" w:cs="宋体"/>
          <w:color w:val="333333"/>
          <w:kern w:val="0"/>
          <w:sz w:val="19"/>
          <w:szCs w:val="19"/>
        </w:rPr>
        <w:t>以为自己在投资，实际在赌博</w:t>
      </w:r>
      <w:r w:rsidRPr="000A4EBD">
        <w:rPr>
          <w:rFonts w:ascii="simsun" w:eastAsia="宋体" w:hAnsi="simsun" w:cs="宋体"/>
          <w:color w:val="333333"/>
          <w:kern w:val="0"/>
          <w:sz w:val="19"/>
          <w:szCs w:val="19"/>
        </w:rPr>
        <w:br/>
      </w:r>
      <w:r>
        <w:rPr>
          <w:rFonts w:ascii="simsun" w:eastAsia="宋体" w:hAnsi="simsun" w:cs="宋体" w:hint="eastAsia"/>
          <w:noProof/>
          <w:color w:val="333333"/>
          <w:kern w:val="0"/>
          <w:sz w:val="19"/>
          <w:szCs w:val="19"/>
        </w:rPr>
        <w:lastRenderedPageBreak/>
        <w:drawing>
          <wp:inline distT="0" distB="0" distL="0" distR="0">
            <wp:extent cx="13560425" cy="6461125"/>
            <wp:effectExtent l="19050" t="0" r="3175" b="0"/>
            <wp:docPr id="4" name="图片 4" descr="http://gbres.dfcfw.com/Files/picture/20170106/7303271685E3DFA679C75B9AC10666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gbres.dfcfw.com/Files/picture/20170106/7303271685E3DFA679C75B9AC10666C7.png"/>
                    <pic:cNvPicPr>
                      <a:picLocks noChangeAspect="1" noChangeArrowheads="1"/>
                    </pic:cNvPicPr>
                  </pic:nvPicPr>
                  <pic:blipFill>
                    <a:blip r:embed="rId7"/>
                    <a:srcRect/>
                    <a:stretch>
                      <a:fillRect/>
                    </a:stretch>
                  </pic:blipFill>
                  <pic:spPr bwMode="auto">
                    <a:xfrm>
                      <a:off x="0" y="0"/>
                      <a:ext cx="13560425" cy="6461125"/>
                    </a:xfrm>
                    <a:prstGeom prst="rect">
                      <a:avLst/>
                    </a:prstGeom>
                    <a:noFill/>
                    <a:ln w="9525">
                      <a:noFill/>
                      <a:miter lim="800000"/>
                      <a:headEnd/>
                      <a:tailEnd/>
                    </a:ln>
                  </pic:spPr>
                </pic:pic>
              </a:graphicData>
            </a:graphic>
          </wp:inline>
        </w:drawing>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必须承认，大多数人来到股市，本质上是为了获得乐趣，所以行为方式也更接近赌博，但是，筹码的体量一定要与行为的本质相匹配。</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市场上最可笑的事情，是用投资的精力，管理赌博级的资金。</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市场上最可怕的事情，是用赌博的办法，管理投资级的资金。</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什么是投资级的资金？我认为超过年薪或者家庭一年的现金支出，就算得上是投资级的资金。</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br/>
        <w:t>2,</w:t>
      </w:r>
      <w:r w:rsidRPr="000A4EBD">
        <w:rPr>
          <w:rFonts w:ascii="simsun" w:eastAsia="宋体" w:hAnsi="simsun" w:cs="宋体"/>
          <w:color w:val="333333"/>
          <w:kern w:val="0"/>
          <w:sz w:val="19"/>
          <w:szCs w:val="19"/>
        </w:rPr>
        <w:t>瞎子摸象式的选股</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br/>
      </w:r>
      <w:r>
        <w:rPr>
          <w:rFonts w:ascii="simsun" w:eastAsia="宋体" w:hAnsi="simsun" w:cs="宋体" w:hint="eastAsia"/>
          <w:noProof/>
          <w:color w:val="333333"/>
          <w:kern w:val="0"/>
          <w:sz w:val="19"/>
          <w:szCs w:val="19"/>
        </w:rPr>
        <w:lastRenderedPageBreak/>
        <w:drawing>
          <wp:inline distT="0" distB="0" distL="0" distR="0">
            <wp:extent cx="7151370" cy="4537710"/>
            <wp:effectExtent l="19050" t="0" r="0" b="0"/>
            <wp:docPr id="5" name="图片 5" descr="http://gbres.dfcfw.com/Files/picture/20170106/C718673E7836832C35A9246C88AEEE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bres.dfcfw.com/Files/picture/20170106/C718673E7836832C35A9246C88AEEE98.jpg"/>
                    <pic:cNvPicPr>
                      <a:picLocks noChangeAspect="1" noChangeArrowheads="1"/>
                    </pic:cNvPicPr>
                  </pic:nvPicPr>
                  <pic:blipFill>
                    <a:blip r:embed="rId8"/>
                    <a:srcRect/>
                    <a:stretch>
                      <a:fillRect/>
                    </a:stretch>
                  </pic:blipFill>
                  <pic:spPr bwMode="auto">
                    <a:xfrm>
                      <a:off x="0" y="0"/>
                      <a:ext cx="7151370" cy="4537710"/>
                    </a:xfrm>
                    <a:prstGeom prst="rect">
                      <a:avLst/>
                    </a:prstGeom>
                    <a:noFill/>
                    <a:ln w="9525">
                      <a:noFill/>
                      <a:miter lim="800000"/>
                      <a:headEnd/>
                      <a:tailEnd/>
                    </a:ln>
                  </pic:spPr>
                </pic:pic>
              </a:graphicData>
            </a:graphic>
          </wp:inline>
        </w:drawing>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当你沉迷于</w:t>
      </w:r>
      <w:r w:rsidRPr="000A4EBD">
        <w:rPr>
          <w:rFonts w:ascii="simsun" w:eastAsia="宋体" w:hAnsi="simsun" w:cs="宋体"/>
          <w:color w:val="333333"/>
          <w:kern w:val="0"/>
          <w:sz w:val="19"/>
          <w:szCs w:val="19"/>
        </w:rPr>
        <w:t>“</w:t>
      </w:r>
      <w:r w:rsidRPr="000A4EBD">
        <w:rPr>
          <w:rFonts w:ascii="simsun" w:eastAsia="宋体" w:hAnsi="simsun" w:cs="宋体"/>
          <w:color w:val="333333"/>
          <w:kern w:val="0"/>
          <w:sz w:val="19"/>
          <w:szCs w:val="19"/>
        </w:rPr>
        <w:t>基本面研究</w:t>
      </w:r>
      <w:r w:rsidRPr="000A4EBD">
        <w:rPr>
          <w:rFonts w:ascii="simsun" w:eastAsia="宋体" w:hAnsi="simsun" w:cs="宋体"/>
          <w:color w:val="333333"/>
          <w:kern w:val="0"/>
          <w:sz w:val="19"/>
          <w:szCs w:val="19"/>
        </w:rPr>
        <w:t>”</w:t>
      </w:r>
      <w:r w:rsidRPr="000A4EBD">
        <w:rPr>
          <w:rFonts w:ascii="simsun" w:eastAsia="宋体" w:hAnsi="simsun" w:cs="宋体"/>
          <w:color w:val="333333"/>
          <w:kern w:val="0"/>
          <w:sz w:val="19"/>
          <w:szCs w:val="19"/>
        </w:rPr>
        <w:t>的时候，一定问自己两个问题：我所看到的，是不是别人也都看到了？是不是还有很多是我没有看到的？</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对公司基本面的研究本质上是对商业的研究，对人的知识量、逻辑能力、思维方式独特性有极高的要求。在这方面的进取精神是值得尊敬的，但不得不承认，绝大多数人的成就都会乏善可陈，在投入有限的情况下尤其如此。</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同时，注意一下</w:t>
      </w:r>
      <w:r w:rsidRPr="000A4EBD">
        <w:rPr>
          <w:rFonts w:ascii="simsun" w:eastAsia="宋体" w:hAnsi="simsun" w:cs="宋体"/>
          <w:color w:val="333333"/>
          <w:kern w:val="0"/>
          <w:sz w:val="19"/>
          <w:szCs w:val="19"/>
        </w:rPr>
        <w:t>“</w:t>
      </w:r>
      <w:r w:rsidRPr="000A4EBD">
        <w:rPr>
          <w:rFonts w:ascii="simsun" w:eastAsia="宋体" w:hAnsi="simsun" w:cs="宋体"/>
          <w:color w:val="333333"/>
          <w:kern w:val="0"/>
          <w:sz w:val="19"/>
          <w:szCs w:val="19"/>
        </w:rPr>
        <w:t>基本面</w:t>
      </w:r>
      <w:r w:rsidRPr="000A4EBD">
        <w:rPr>
          <w:rFonts w:ascii="simsun" w:eastAsia="宋体" w:hAnsi="simsun" w:cs="宋体"/>
          <w:color w:val="333333"/>
          <w:kern w:val="0"/>
          <w:sz w:val="19"/>
          <w:szCs w:val="19"/>
        </w:rPr>
        <w:t>”</w:t>
      </w:r>
      <w:r w:rsidRPr="000A4EBD">
        <w:rPr>
          <w:rFonts w:ascii="simsun" w:eastAsia="宋体" w:hAnsi="simsun" w:cs="宋体"/>
          <w:color w:val="333333"/>
          <w:kern w:val="0"/>
          <w:sz w:val="19"/>
          <w:szCs w:val="19"/>
        </w:rPr>
        <w:t>与股价的非线性关系，这种非线性关系也会给基本面研究带来极大的困扰。</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如果没有能力选股，那么应该怎么办呢？可以用资产配置替代选股。</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长期来看，股票的收益要高于大部分资产，但为什么要配置其他品类的资产呢？这是因为股票的价格波动比较大，</w:t>
      </w:r>
      <w:proofErr w:type="gramStart"/>
      <w:r w:rsidRPr="000A4EBD">
        <w:rPr>
          <w:rFonts w:ascii="simsun" w:eastAsia="宋体" w:hAnsi="simsun" w:cs="宋体"/>
          <w:color w:val="333333"/>
          <w:kern w:val="0"/>
          <w:sz w:val="19"/>
          <w:szCs w:val="19"/>
        </w:rPr>
        <w:t>不</w:t>
      </w:r>
      <w:proofErr w:type="gramEnd"/>
      <w:r w:rsidRPr="000A4EBD">
        <w:rPr>
          <w:rFonts w:ascii="simsun" w:eastAsia="宋体" w:hAnsi="simsun" w:cs="宋体"/>
          <w:color w:val="333333"/>
          <w:kern w:val="0"/>
          <w:sz w:val="19"/>
          <w:szCs w:val="19"/>
        </w:rPr>
        <w:t>同类的资产有非相关性，多元化配置可以在一定程度上对冲风险、平抑波动。</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波动本身不是风险，但如果波动超出投资者的承受能力，却会造成实质性的损失。</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br/>
        <w:t>3,</w:t>
      </w:r>
      <w:r w:rsidRPr="000A4EBD">
        <w:rPr>
          <w:rFonts w:ascii="simsun" w:eastAsia="宋体" w:hAnsi="simsun" w:cs="宋体"/>
          <w:color w:val="333333"/>
          <w:kern w:val="0"/>
          <w:sz w:val="19"/>
          <w:szCs w:val="19"/>
        </w:rPr>
        <w:t>弄巧成拙的择时</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br/>
      </w:r>
      <w:r>
        <w:rPr>
          <w:rFonts w:ascii="simsun" w:eastAsia="宋体" w:hAnsi="simsun" w:cs="宋体" w:hint="eastAsia"/>
          <w:noProof/>
          <w:color w:val="333333"/>
          <w:kern w:val="0"/>
          <w:sz w:val="19"/>
          <w:szCs w:val="19"/>
        </w:rPr>
        <w:lastRenderedPageBreak/>
        <w:drawing>
          <wp:inline distT="0" distB="0" distL="0" distR="0">
            <wp:extent cx="6901180" cy="4312920"/>
            <wp:effectExtent l="19050" t="0" r="0" b="0"/>
            <wp:docPr id="6" name="图片 6" descr="http://gbres.dfcfw.com/Files/picture/20170106/8546399147B0FFAB63973E2F7AD71B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gbres.dfcfw.com/Files/picture/20170106/8546399147B0FFAB63973E2F7AD71B63.jpg"/>
                    <pic:cNvPicPr>
                      <a:picLocks noChangeAspect="1" noChangeArrowheads="1"/>
                    </pic:cNvPicPr>
                  </pic:nvPicPr>
                  <pic:blipFill>
                    <a:blip r:embed="rId9"/>
                    <a:srcRect/>
                    <a:stretch>
                      <a:fillRect/>
                    </a:stretch>
                  </pic:blipFill>
                  <pic:spPr bwMode="auto">
                    <a:xfrm>
                      <a:off x="0" y="0"/>
                      <a:ext cx="6901180" cy="4312920"/>
                    </a:xfrm>
                    <a:prstGeom prst="rect">
                      <a:avLst/>
                    </a:prstGeom>
                    <a:noFill/>
                    <a:ln w="9525">
                      <a:noFill/>
                      <a:miter lim="800000"/>
                      <a:headEnd/>
                      <a:tailEnd/>
                    </a:ln>
                  </pic:spPr>
                </pic:pic>
              </a:graphicData>
            </a:graphic>
          </wp:inline>
        </w:drawing>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不得不承认，大部分择时创造的是负收益。包括很多人说基金让自己赔钱，通常是一个认知误区，其实不是基金让投资者赔钱，而是自己购买、赎回基金的时机让自己赔钱，大多数人都是牛市中后期进入市场买入股票或者基金，在熊市接近触底时卖出股票或者赎回基金，这可以说是逆向择时。</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熊市卖出股票、赎回基金本质上就是因为投资组合的净值波动超出了心理承受能力所致。提升对波动的承受能力，跟提升选</w:t>
      </w:r>
      <w:proofErr w:type="gramStart"/>
      <w:r w:rsidRPr="000A4EBD">
        <w:rPr>
          <w:rFonts w:ascii="simsun" w:eastAsia="宋体" w:hAnsi="simsun" w:cs="宋体"/>
          <w:color w:val="333333"/>
          <w:kern w:val="0"/>
          <w:sz w:val="19"/>
          <w:szCs w:val="19"/>
        </w:rPr>
        <w:t>股能力</w:t>
      </w:r>
      <w:proofErr w:type="gramEnd"/>
      <w:r w:rsidRPr="000A4EBD">
        <w:rPr>
          <w:rFonts w:ascii="simsun" w:eastAsia="宋体" w:hAnsi="simsun" w:cs="宋体"/>
          <w:color w:val="333333"/>
          <w:kern w:val="0"/>
          <w:sz w:val="19"/>
          <w:szCs w:val="19"/>
        </w:rPr>
        <w:t>一样艰难，所以通过资产配置平抑波动是非常有必要的。</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避免逆向择时的另一个办法是定投，即把可投入资金平均分配在时间轴上。</w:t>
      </w:r>
      <w:r w:rsidRPr="000A4EBD">
        <w:rPr>
          <w:rFonts w:ascii="simsun" w:eastAsia="宋体" w:hAnsi="simsun" w:cs="宋体"/>
          <w:color w:val="333333"/>
          <w:kern w:val="0"/>
          <w:sz w:val="19"/>
          <w:szCs w:val="19"/>
        </w:rPr>
        <w:br/>
      </w:r>
      <w:proofErr w:type="gramStart"/>
      <w:r w:rsidRPr="000A4EBD">
        <w:rPr>
          <w:rFonts w:ascii="simsun" w:eastAsia="宋体" w:hAnsi="simsun" w:cs="宋体"/>
          <w:color w:val="333333"/>
          <w:kern w:val="0"/>
          <w:sz w:val="19"/>
          <w:szCs w:val="19"/>
        </w:rPr>
        <w:t>坚持定投也</w:t>
      </w:r>
      <w:proofErr w:type="gramEnd"/>
      <w:r w:rsidRPr="000A4EBD">
        <w:rPr>
          <w:rFonts w:ascii="simsun" w:eastAsia="宋体" w:hAnsi="simsun" w:cs="宋体"/>
          <w:color w:val="333333"/>
          <w:kern w:val="0"/>
          <w:sz w:val="19"/>
          <w:szCs w:val="19"/>
        </w:rPr>
        <w:t>不容易，所以最好是让系统来帮助你，比如选择具有</w:t>
      </w:r>
      <w:proofErr w:type="gramStart"/>
      <w:r w:rsidRPr="000A4EBD">
        <w:rPr>
          <w:rFonts w:ascii="simsun" w:eastAsia="宋体" w:hAnsi="simsun" w:cs="宋体"/>
          <w:color w:val="333333"/>
          <w:kern w:val="0"/>
          <w:sz w:val="19"/>
          <w:szCs w:val="19"/>
        </w:rPr>
        <w:t>定投功能</w:t>
      </w:r>
      <w:proofErr w:type="gramEnd"/>
      <w:r w:rsidRPr="000A4EBD">
        <w:rPr>
          <w:rFonts w:ascii="simsun" w:eastAsia="宋体" w:hAnsi="simsun" w:cs="宋体"/>
          <w:color w:val="333333"/>
          <w:kern w:val="0"/>
          <w:sz w:val="19"/>
          <w:szCs w:val="19"/>
        </w:rPr>
        <w:t>的基金购买渠道，每个月从工资里定期扣除，才可能长期坚持下来。</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总结经验就是：对于市场上</w:t>
      </w:r>
      <w:r w:rsidRPr="000A4EBD">
        <w:rPr>
          <w:rFonts w:ascii="simsun" w:eastAsia="宋体" w:hAnsi="simsun" w:cs="宋体"/>
          <w:color w:val="333333"/>
          <w:kern w:val="0"/>
          <w:sz w:val="19"/>
          <w:szCs w:val="19"/>
        </w:rPr>
        <w:t>99%</w:t>
      </w:r>
      <w:r w:rsidRPr="000A4EBD">
        <w:rPr>
          <w:rFonts w:ascii="simsun" w:eastAsia="宋体" w:hAnsi="simsun" w:cs="宋体"/>
          <w:color w:val="333333"/>
          <w:kern w:val="0"/>
          <w:sz w:val="19"/>
          <w:szCs w:val="19"/>
        </w:rPr>
        <w:t>的玩家来说，通过提升自己的选股、择时能力获得超额收益，是一辈子都不会成功的。相反，降低自己的收益预期，明确自己的波动承受能力，通过资产配置将投资组合的净值波动控制在自己的心理承受能力之内，获得长期稳定的回报，又是可行的。</w:t>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br/>
      </w:r>
      <w:r w:rsidRPr="000A4EBD">
        <w:rPr>
          <w:rFonts w:ascii="simsun" w:eastAsia="宋体" w:hAnsi="simsun" w:cs="宋体"/>
          <w:color w:val="333333"/>
          <w:kern w:val="0"/>
          <w:sz w:val="19"/>
          <w:szCs w:val="19"/>
        </w:rPr>
        <w:t>作者：不明真相的群众</w:t>
      </w:r>
    </w:p>
    <w:p w:rsidR="0075559B" w:rsidRDefault="0075559B"/>
    <w:sectPr w:rsidR="0075559B" w:rsidSect="0075559B">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0A4EBD"/>
    <w:rsid w:val="000A4EBD"/>
    <w:rsid w:val="0075559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559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A4EBD"/>
    <w:rPr>
      <w:sz w:val="18"/>
      <w:szCs w:val="18"/>
    </w:rPr>
  </w:style>
  <w:style w:type="character" w:customStyle="1" w:styleId="Char">
    <w:name w:val="批注框文本 Char"/>
    <w:basedOn w:val="a0"/>
    <w:link w:val="a3"/>
    <w:uiPriority w:val="99"/>
    <w:semiHidden/>
    <w:rsid w:val="000A4EBD"/>
    <w:rPr>
      <w:sz w:val="18"/>
      <w:szCs w:val="18"/>
    </w:rPr>
  </w:style>
</w:styles>
</file>

<file path=word/webSettings.xml><?xml version="1.0" encoding="utf-8"?>
<w:webSettings xmlns:r="http://schemas.openxmlformats.org/officeDocument/2006/relationships" xmlns:w="http://schemas.openxmlformats.org/wordprocessingml/2006/main">
  <w:divs>
    <w:div w:id="596183071">
      <w:bodyDiv w:val="1"/>
      <w:marLeft w:val="0"/>
      <w:marRight w:val="0"/>
      <w:marTop w:val="0"/>
      <w:marBottom w:val="0"/>
      <w:divBdr>
        <w:top w:val="none" w:sz="0" w:space="0" w:color="auto"/>
        <w:left w:val="none" w:sz="0" w:space="0" w:color="auto"/>
        <w:bottom w:val="none" w:sz="0" w:space="0" w:color="auto"/>
        <w:right w:val="none" w:sz="0" w:space="0" w:color="auto"/>
      </w:divBdr>
      <w:divsChild>
        <w:div w:id="71705881">
          <w:marLeft w:val="0"/>
          <w:marRight w:val="0"/>
          <w:marTop w:val="0"/>
          <w:marBottom w:val="0"/>
          <w:divBdr>
            <w:top w:val="none" w:sz="0" w:space="0" w:color="auto"/>
            <w:left w:val="none" w:sz="0" w:space="0" w:color="auto"/>
            <w:bottom w:val="none" w:sz="0" w:space="0" w:color="auto"/>
            <w:right w:val="none" w:sz="0" w:space="0" w:color="auto"/>
          </w:divBdr>
        </w:div>
        <w:div w:id="80176363">
          <w:marLeft w:val="0"/>
          <w:marRight w:val="0"/>
          <w:marTop w:val="0"/>
          <w:marBottom w:val="0"/>
          <w:divBdr>
            <w:top w:val="none" w:sz="0" w:space="0" w:color="auto"/>
            <w:left w:val="none" w:sz="0" w:space="0" w:color="auto"/>
            <w:bottom w:val="none" w:sz="0" w:space="0" w:color="auto"/>
            <w:right w:val="none" w:sz="0" w:space="0" w:color="auto"/>
          </w:divBdr>
          <w:divsChild>
            <w:div w:id="84779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205</Words>
  <Characters>1169</Characters>
  <Application>Microsoft Office Word</Application>
  <DocSecurity>0</DocSecurity>
  <Lines>9</Lines>
  <Paragraphs>2</Paragraphs>
  <ScaleCrop>false</ScaleCrop>
  <Company>Microwin10</Company>
  <LinksUpToDate>false</LinksUpToDate>
  <CharactersWithSpaces>1372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China</dc:creator>
  <cp:lastModifiedBy>China</cp:lastModifiedBy>
  <cp:revision>1</cp:revision>
  <dcterms:created xsi:type="dcterms:W3CDTF">2017-05-22T06:03:00Z</dcterms:created>
  <dcterms:modified xsi:type="dcterms:W3CDTF">2017-05-22T06:10:00Z</dcterms:modified>
</cp:coreProperties>
</file>