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92" w:rsidRPr="00350092" w:rsidRDefault="00350092" w:rsidP="00350092">
      <w:pPr>
        <w:widowControl/>
        <w:shd w:val="clear" w:color="auto" w:fill="FFFFFF"/>
        <w:wordWrap w:val="0"/>
        <w:spacing w:line="304" w:lineRule="atLeast"/>
        <w:jc w:val="left"/>
        <w:rPr>
          <w:rFonts w:ascii="simsun" w:eastAsia="宋体" w:hAnsi="simsun" w:cs="宋体"/>
          <w:b/>
          <w:bCs/>
          <w:color w:val="333333"/>
          <w:kern w:val="0"/>
          <w:sz w:val="22"/>
        </w:rPr>
      </w:pPr>
      <w:proofErr w:type="gramStart"/>
      <w:r w:rsidRPr="00350092">
        <w:rPr>
          <w:rFonts w:ascii="simsun" w:eastAsia="宋体" w:hAnsi="simsun" w:cs="宋体"/>
          <w:b/>
          <w:bCs/>
          <w:color w:val="333333"/>
          <w:kern w:val="0"/>
          <w:sz w:val="22"/>
        </w:rPr>
        <w:t>定投终级</w:t>
      </w:r>
      <w:proofErr w:type="gramEnd"/>
      <w:r w:rsidRPr="00350092">
        <w:rPr>
          <w:rFonts w:ascii="simsun" w:eastAsia="宋体" w:hAnsi="simsun" w:cs="宋体"/>
          <w:b/>
          <w:bCs/>
          <w:color w:val="333333"/>
          <w:kern w:val="0"/>
          <w:sz w:val="22"/>
        </w:rPr>
        <w:t>：站着赚钱的机智投资法</w:t>
      </w:r>
    </w:p>
    <w:p w:rsidR="00350092" w:rsidRPr="00350092" w:rsidRDefault="00350092" w:rsidP="00350092">
      <w:pPr>
        <w:widowControl/>
        <w:shd w:val="clear" w:color="auto" w:fill="FFFFFF"/>
        <w:wordWrap w:val="0"/>
        <w:spacing w:line="314" w:lineRule="atLeast"/>
        <w:jc w:val="left"/>
        <w:rPr>
          <w:rFonts w:ascii="simsun" w:eastAsia="宋体" w:hAnsi="simsun" w:cs="宋体"/>
          <w:color w:val="333333"/>
          <w:kern w:val="0"/>
          <w:sz w:val="19"/>
          <w:szCs w:val="19"/>
        </w:rPr>
      </w:pP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通过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“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审时度势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”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，我们已经成功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将年化收益率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提升至两位数，那么是否还能够进一步提高呢？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取得高收益的诀窍是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“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低买高卖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”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，低买已经做到，那么今天我们就来说定投的终级版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—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如何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“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高卖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”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【卖出策略有哪几种】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依旧根据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PE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设定卖出标准：高于某值则卖出，低于则持仓观望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每次卖出所得都计入累积金额中，在下次可买入时全部买入（即买入策略二）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策略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一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：每个可卖出月卖出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固定手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数（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=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买入手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数）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策略二：每个可卖出月卖出所有持仓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策略三：每个可卖出月卖出持仓的一定比例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【各类策略优劣】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我们这次看深证成指的历史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PE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曲线：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>
        <w:rPr>
          <w:rFonts w:ascii="simsun" w:eastAsia="宋体" w:hAnsi="simsun" w:cs="宋体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7616825" cy="2398395"/>
            <wp:effectExtent l="19050" t="0" r="3175" b="0"/>
            <wp:docPr id="1" name="图片 1" descr="http://gbres.dfcfw.com/Files/picture/20170106/B4F2B2696C64F7D24A70329F514D1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bres.dfcfw.com/Files/picture/20170106/B4F2B2696C64F7D24A70329F514D1A1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根据坐着投资的买入方式，我们得出的结论为：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当买入标准设定为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PE&lt;10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时，收益率最高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那么我们就来看在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这个买入标准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下，选择不同的卖出策略得到的结果：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策略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一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：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将傻瓜式投资贯彻到底，绝对错过卖出机会，收益极低，不说也罢。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策略二：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lastRenderedPageBreak/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看看这种策略下深证成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指年化收益率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与卖出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PE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标准设定的关系图：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>
        <w:rPr>
          <w:rFonts w:ascii="simsun" w:eastAsia="宋体" w:hAnsi="simsun" w:cs="宋体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7616825" cy="2320290"/>
            <wp:effectExtent l="19050" t="0" r="3175" b="0"/>
            <wp:docPr id="2" name="图片 2" descr="http://gbres.dfcfw.com/Files/picture/20170106/6CA6E8BB7D81BCCEC63099A05C1BC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bres.dfcfw.com/Files/picture/20170106/6CA6E8BB7D81BCCEC63099A05C1BC61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当卖出规则设定为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PE&gt;45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全部卖出时，所得的收益率最高，年化为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17.61%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策略三：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根据策略二得出，卖出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PE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标准定为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&gt;45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时，收益率最高，那么，按照策略三来操作卖出的话，收益率随着设置的定额，会如何变化呢：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>
        <w:rPr>
          <w:rFonts w:ascii="simsun" w:eastAsia="宋体" w:hAnsi="simsun" w:cs="宋体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7616825" cy="2406650"/>
            <wp:effectExtent l="19050" t="0" r="3175" b="0"/>
            <wp:docPr id="3" name="图片 3" descr="http://gbres.dfcfw.com/Files/picture/20170106/9087EA611B4A1BB6BB322D49E40BE6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bres.dfcfw.com/Files/picture/20170106/9087EA611B4A1BB6BB322D49E40BE64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当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100%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卖出时，收益率最大，其实也就是策略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二得到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的收益率。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那是否收益率的上限就是策略二呢？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来看当卖出规则变化时，策略二和策略三的收益率对比：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>
        <w:rPr>
          <w:rFonts w:ascii="simsun" w:eastAsia="宋体" w:hAnsi="simsun" w:cs="宋体" w:hint="eastAsia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7616825" cy="2786380"/>
            <wp:effectExtent l="19050" t="0" r="3175" b="0"/>
            <wp:docPr id="4" name="图片 4" descr="http://gbres.dfcfw.com/Files/picture/20170106/CC30E4274F006295250A51675F0061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bres.dfcfw.com/Files/picture/20170106/CC30E4274F006295250A51675F0061A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策略二更易操作，而策略三的参数选取并不容易，按照估值中位数或平均数的二倍来做参考的话，策略二的收益率是会高于策略三的。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当选取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PE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合适时，在指数波动过程中多次高抛低吸，收益会有很大程度的提升，这时选择策略三将会把握住更好的机会。而当选取卖出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PE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较高时，则会出现无法卖出的可能，此时选择策略二，抓住每一个卖出时机，则是更好的选择。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【对比三类投资法】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>
        <w:rPr>
          <w:rFonts w:ascii="simsun" w:eastAsia="宋体" w:hAnsi="simsun" w:cs="宋体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7038975" cy="1527175"/>
            <wp:effectExtent l="19050" t="0" r="9525" b="0"/>
            <wp:docPr id="5" name="图片 5" descr="http://gbres.dfcfw.com/Files/picture/20170106/4E5E93A609F6794A8CA0BB1B2B0462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bres.dfcfw.com/Files/picture/20170106/4E5E93A609F6794A8CA0BB1B2B0462D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站着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投得到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的收益率，是按照买入策略二中得到的最佳买入点计算出的结果，并不是站着投资可以得到的最高收益率。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例如，我们已经看到当设置买入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PE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小于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时，使用卖出策略二时得到的最高收益率为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17.61%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，而如果改变买入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PE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的标准，使用卖出策略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二得到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的收益率也是有区别的：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>
        <w:rPr>
          <w:rFonts w:ascii="simsun" w:eastAsia="宋体" w:hAnsi="simsun" w:cs="宋体" w:hint="eastAsia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7616825" cy="3105785"/>
            <wp:effectExtent l="19050" t="0" r="3175" b="0"/>
            <wp:docPr id="6" name="图片 6" descr="http://gbres.dfcfw.com/Files/picture/20170106/3CC8E8F5262D19FA1C05B82E638576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bres.dfcfw.com/Files/picture/20170106/3CC8E8F5262D19FA1C05B82E638576C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可见对于深成综指，当条件设为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PE&lt;15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时买入，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PE&gt;45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时卖出，可以获得最大收益率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26.09%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如此考虑时，站着投资的收益率可以进一步提升：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>
        <w:rPr>
          <w:rFonts w:ascii="simsun" w:eastAsia="宋体" w:hAnsi="simsun" w:cs="宋体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7763510" cy="1509395"/>
            <wp:effectExtent l="19050" t="0" r="8890" b="0"/>
            <wp:docPr id="7" name="图片 7" descr="http://gbres.dfcfw.com/Files/picture/20170106/FAA9E0899533FAB4D69A802F92A621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bres.dfcfw.com/Files/picture/20170106/FAA9E0899533FAB4D69A802F92A6210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【总结】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定投是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工薪族在资本积累阶段参与股市的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“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低门槛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”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投资方法。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定投的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长期风险很小，收益率比无风险利率（余额宝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/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定期存款）高出一倍以上。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10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年你的资产将差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1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倍，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20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年差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2-3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倍，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30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年差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5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倍。这就是复利的威力。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通过选择合适的买点和卖点，投资大盘的收益率能进一步提升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5-10%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，别小看这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5-10%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，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30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年后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8%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的年化收益率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相比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15%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资产将进一步相差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7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倍。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也就是说，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投资余额宝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30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年后你开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QQ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，</w:t>
      </w:r>
      <w:proofErr w:type="gramStart"/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定投你</w:t>
      </w:r>
      <w:proofErr w:type="gramEnd"/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开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CC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，择时买卖你能够开卡宴。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择时买卖说起来容易，做起来却有难度，保持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10%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以上的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年化收益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都不是一件容易的事。骑行客用的是历史数据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回测帮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大家找出最佳买卖点。实际操作中，如果你在创业板把买入点设得太严格（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25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倍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lastRenderedPageBreak/>
        <w:t>以下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PE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），在上证指数把卖出点设置得太宽泛（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80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倍以上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PE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卖出），都会导致抄不到底，和逃不了顶的现象。毕竟，在实际操作中，我们并没有历史的后视镜。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三篇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定投从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入门到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进阶再到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终极版为大家提供了逐步提升收益率的理论实证。并且三种投资方式分别适用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无产阶级工薪阶层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（无需考虑买点），有一定积累的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中产阶级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（更多考虑买点），和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财务自由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的无固定收入者（不逃顶这一年就白干了）。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股市投资，循序渐进很重要。一波</w:t>
      </w:r>
      <w:proofErr w:type="gramStart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牛市让</w:t>
      </w:r>
      <w:proofErr w:type="gramEnd"/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无数人顿时有了一步登天的感觉。退潮之后投资者更加看清自己的位置。根据自身的情况，选择合适的投资方式和合理的收益目标，勤加练习，首先把长期风险控制到最小，然后逐步提升收益率。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熊市播种，牛市方能收获。那些牛市急急忙忙进来凑热闹的，把</w:t>
      </w:r>
      <w:proofErr w:type="gramStart"/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站着定投的</w:t>
      </w:r>
      <w:proofErr w:type="gramEnd"/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收益率加个负号，就是他们的结局。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br/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如果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2015</w:t>
      </w:r>
      <w:r w:rsidRPr="00350092">
        <w:rPr>
          <w:rFonts w:ascii="simsun" w:eastAsia="宋体" w:hAnsi="simsun" w:cs="宋体"/>
          <w:color w:val="333333"/>
          <w:kern w:val="0"/>
          <w:sz w:val="19"/>
          <w:szCs w:val="19"/>
        </w:rPr>
        <w:t>是你初入股市，不要灰心，不要气馁，要知道今年赚大钱中的很多人，七年前与你是同样的角色。</w:t>
      </w:r>
      <w:r w:rsidRPr="00350092">
        <w:rPr>
          <w:rFonts w:ascii="simsun" w:eastAsia="宋体" w:hAnsi="simsun" w:cs="宋体"/>
          <w:b/>
          <w:bCs/>
          <w:color w:val="333333"/>
          <w:kern w:val="0"/>
          <w:sz w:val="19"/>
        </w:rPr>
        <w:t>改变一个股市投资者的命运只需要七年。七年弹指一挥间，从此你就将成为股市高收益低风险的长期受益者。</w:t>
      </w:r>
    </w:p>
    <w:p w:rsidR="0075559B" w:rsidRPr="00350092" w:rsidRDefault="0075559B"/>
    <w:sectPr w:rsidR="0075559B" w:rsidRPr="00350092" w:rsidSect="00755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0092"/>
    <w:rsid w:val="00350092"/>
    <w:rsid w:val="0075559B"/>
    <w:rsid w:val="00EC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5009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500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00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263</Words>
  <Characters>1503</Characters>
  <Application>Microsoft Office Word</Application>
  <DocSecurity>0</DocSecurity>
  <Lines>12</Lines>
  <Paragraphs>3</Paragraphs>
  <ScaleCrop>false</ScaleCrop>
  <Company>Microwin10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2017-05-22T06:19:00Z</dcterms:created>
  <dcterms:modified xsi:type="dcterms:W3CDTF">2017-05-22T07:20:00Z</dcterms:modified>
</cp:coreProperties>
</file>