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04CFA" w:rsidRPr="00B04CFA" w:rsidRDefault="00B04CFA" w:rsidP="00B04CFA">
      <w:pPr>
        <w:widowControl/>
        <w:shd w:val="clear" w:color="auto" w:fill="F6F6F6"/>
        <w:spacing w:line="353" w:lineRule="atLeast"/>
        <w:jc w:val="left"/>
        <w:rPr>
          <w:rFonts w:ascii="微软雅黑" w:eastAsia="微软雅黑" w:hAnsi="微软雅黑" w:cs="宋体"/>
          <w:b/>
          <w:bCs/>
          <w:color w:val="3F3F3F"/>
          <w:kern w:val="0"/>
          <w:sz w:val="27"/>
          <w:szCs w:val="27"/>
        </w:rPr>
      </w:pPr>
      <w:r w:rsidRPr="00B04CFA">
        <w:rPr>
          <w:rFonts w:ascii="微软雅黑" w:eastAsia="微软雅黑" w:hAnsi="微软雅黑" w:cs="宋体" w:hint="eastAsia"/>
          <w:b/>
          <w:bCs/>
          <w:color w:val="3F3F3F"/>
          <w:kern w:val="0"/>
          <w:sz w:val="27"/>
          <w:szCs w:val="27"/>
        </w:rPr>
        <w:t>兴业证券：国企改革提速 吃饭行情将进酒(附图表)</w:t>
      </w:r>
    </w:p>
    <w:p w:rsidR="00B04CFA" w:rsidRPr="00B04CFA" w:rsidRDefault="00B04CFA" w:rsidP="00B04CFA">
      <w:pPr>
        <w:widowControl/>
        <w:shd w:val="clear" w:color="auto" w:fill="F6F6F6"/>
        <w:spacing w:line="217" w:lineRule="atLeast"/>
        <w:jc w:val="left"/>
        <w:rPr>
          <w:rFonts w:ascii="微软雅黑" w:eastAsia="微软雅黑" w:hAnsi="微软雅黑" w:cs="宋体" w:hint="eastAsia"/>
          <w:color w:val="959595"/>
          <w:kern w:val="0"/>
          <w:sz w:val="18"/>
          <w:szCs w:val="18"/>
        </w:rPr>
      </w:pPr>
      <w:r w:rsidRPr="00B04CFA">
        <w:rPr>
          <w:rFonts w:ascii="微软雅黑" w:eastAsia="微软雅黑" w:hAnsi="微软雅黑" w:cs="宋体" w:hint="eastAsia"/>
          <w:color w:val="959595"/>
          <w:kern w:val="0"/>
          <w:sz w:val="18"/>
          <w:szCs w:val="18"/>
        </w:rPr>
        <w:t>08-04 07:37   来源 : 兴业证券</w:t>
      </w:r>
    </w:p>
    <w:p w:rsidR="00B04CFA" w:rsidRPr="00B04CFA" w:rsidRDefault="00B04CFA" w:rsidP="00B04CFA">
      <w:pPr>
        <w:widowControl/>
        <w:shd w:val="clear" w:color="auto" w:fill="2F5895"/>
        <w:spacing w:line="272" w:lineRule="atLeast"/>
        <w:jc w:val="left"/>
        <w:rPr>
          <w:rFonts w:ascii="微软雅黑" w:eastAsia="微软雅黑" w:hAnsi="微软雅黑" w:cs="宋体" w:hint="eastAsia"/>
          <w:color w:val="FFFFFF"/>
          <w:kern w:val="0"/>
          <w:sz w:val="18"/>
          <w:szCs w:val="18"/>
        </w:rPr>
      </w:pPr>
      <w:hyperlink r:id="rId4" w:history="1">
        <w:r w:rsidRPr="00B04CFA">
          <w:rPr>
            <w:rFonts w:ascii="微软雅黑" w:eastAsia="微软雅黑" w:hAnsi="微软雅黑" w:cs="宋体" w:hint="eastAsia"/>
            <w:color w:val="FFFFFF"/>
            <w:kern w:val="0"/>
            <w:sz w:val="18"/>
            <w:u w:val="single"/>
          </w:rPr>
          <w:t>64评论</w:t>
        </w:r>
      </w:hyperlink>
    </w:p>
    <w:p w:rsidR="00B04CFA" w:rsidRPr="00B04CFA" w:rsidRDefault="00B04CFA" w:rsidP="00B04CFA">
      <w:pPr>
        <w:widowControl/>
        <w:shd w:val="clear" w:color="auto" w:fill="999999"/>
        <w:spacing w:line="272" w:lineRule="atLeast"/>
        <w:jc w:val="left"/>
        <w:rPr>
          <w:rFonts w:ascii="微软雅黑" w:eastAsia="微软雅黑" w:hAnsi="微软雅黑" w:cs="宋体" w:hint="eastAsia"/>
          <w:color w:val="FFFFFF"/>
          <w:kern w:val="0"/>
          <w:sz w:val="16"/>
          <w:szCs w:val="16"/>
        </w:rPr>
      </w:pPr>
      <w:r w:rsidRPr="00B04CFA">
        <w:rPr>
          <w:rFonts w:ascii="微软雅黑" w:eastAsia="微软雅黑" w:hAnsi="微软雅黑" w:cs="宋体" w:hint="eastAsia"/>
          <w:color w:val="FFFFFF"/>
          <w:kern w:val="0"/>
          <w:sz w:val="16"/>
          <w:szCs w:val="16"/>
        </w:rPr>
        <w:t>摘要</w:t>
      </w:r>
    </w:p>
    <w:p w:rsidR="00B04CFA" w:rsidRPr="00B04CFA" w:rsidRDefault="00B04CFA" w:rsidP="00B04CFA">
      <w:pPr>
        <w:widowControl/>
        <w:shd w:val="clear" w:color="auto" w:fill="E4E4E4"/>
        <w:spacing w:line="272" w:lineRule="atLeast"/>
        <w:jc w:val="left"/>
        <w:rPr>
          <w:rFonts w:ascii="微软雅黑" w:eastAsia="微软雅黑" w:hAnsi="微软雅黑" w:cs="宋体" w:hint="eastAsia"/>
          <w:color w:val="3F3F3F"/>
          <w:kern w:val="0"/>
          <w:sz w:val="19"/>
          <w:szCs w:val="19"/>
        </w:rPr>
      </w:pPr>
      <w:proofErr w:type="gramStart"/>
      <w:r w:rsidRPr="00B04CFA">
        <w:rPr>
          <w:rFonts w:ascii="微软雅黑" w:eastAsia="微软雅黑" w:hAnsi="微软雅黑" w:cs="宋体" w:hint="eastAsia"/>
          <w:color w:val="3F3F3F"/>
          <w:kern w:val="0"/>
          <w:sz w:val="19"/>
          <w:szCs w:val="19"/>
        </w:rPr>
        <w:t>【兴业证券：国企改革提速 吃饭行情将进酒】央企重组</w:t>
      </w:r>
      <w:proofErr w:type="gramEnd"/>
      <w:r w:rsidRPr="00B04CFA">
        <w:rPr>
          <w:rFonts w:ascii="微软雅黑" w:eastAsia="微软雅黑" w:hAnsi="微软雅黑" w:cs="宋体" w:hint="eastAsia"/>
          <w:color w:val="3F3F3F"/>
          <w:kern w:val="0"/>
          <w:sz w:val="19"/>
          <w:szCs w:val="19"/>
        </w:rPr>
        <w:t>是推进最快的方向，更值得期待的是垄断</w:t>
      </w:r>
      <w:proofErr w:type="gramStart"/>
      <w:r w:rsidRPr="00B04CFA">
        <w:rPr>
          <w:rFonts w:ascii="微软雅黑" w:eastAsia="微软雅黑" w:hAnsi="微软雅黑" w:cs="宋体" w:hint="eastAsia"/>
          <w:color w:val="3F3F3F"/>
          <w:kern w:val="0"/>
          <w:sz w:val="19"/>
          <w:szCs w:val="19"/>
        </w:rPr>
        <w:t>领域混改和</w:t>
      </w:r>
      <w:proofErr w:type="gramEnd"/>
      <w:r w:rsidRPr="00B04CFA">
        <w:rPr>
          <w:rFonts w:ascii="微软雅黑" w:eastAsia="微软雅黑" w:hAnsi="微软雅黑" w:cs="宋体" w:hint="eastAsia"/>
          <w:color w:val="3F3F3F"/>
          <w:kern w:val="0"/>
          <w:sz w:val="19"/>
          <w:szCs w:val="19"/>
        </w:rPr>
        <w:t>员工持股能有实际突破，这对于国企改革和中国经济转型意义重大。</w:t>
      </w:r>
    </w:p>
    <w:p w:rsidR="00B04CFA" w:rsidRPr="00B04CFA" w:rsidRDefault="00B04CFA" w:rsidP="00B04CFA">
      <w:pPr>
        <w:widowControl/>
        <w:spacing w:before="100" w:beforeAutospacing="1" w:after="100" w:afterAutospacing="1"/>
        <w:jc w:val="left"/>
        <w:rPr>
          <w:rFonts w:ascii="宋体" w:eastAsia="宋体" w:hAnsi="宋体" w:cs="宋体" w:hint="eastAsia"/>
          <w:kern w:val="0"/>
          <w:sz w:val="24"/>
          <w:szCs w:val="24"/>
        </w:rPr>
      </w:pPr>
      <w:r w:rsidRPr="00B04CFA">
        <w:rPr>
          <w:rFonts w:ascii="宋体" w:eastAsia="宋体" w:hAnsi="宋体" w:cs="宋体"/>
          <w:b/>
          <w:bCs/>
          <w:kern w:val="0"/>
          <w:sz w:val="24"/>
          <w:szCs w:val="24"/>
        </w:rPr>
        <w:t>投资要点</w:t>
      </w:r>
    </w:p>
    <w:p w:rsidR="00B04CFA" w:rsidRPr="00B04CFA" w:rsidRDefault="00B04CFA" w:rsidP="00B04CFA">
      <w:pPr>
        <w:widowControl/>
        <w:spacing w:before="100" w:beforeAutospacing="1" w:after="100" w:afterAutospacing="1"/>
        <w:jc w:val="left"/>
        <w:rPr>
          <w:rFonts w:ascii="宋体" w:eastAsia="宋体" w:hAnsi="宋体" w:cs="宋体"/>
          <w:kern w:val="0"/>
          <w:sz w:val="24"/>
          <w:szCs w:val="24"/>
        </w:rPr>
      </w:pPr>
      <w:r w:rsidRPr="00B04CFA">
        <w:rPr>
          <w:rFonts w:ascii="宋体" w:eastAsia="宋体" w:hAnsi="宋体" w:cs="宋体"/>
          <w:kern w:val="0"/>
          <w:sz w:val="24"/>
          <w:szCs w:val="24"/>
        </w:rPr>
        <w:t>下半年</w:t>
      </w:r>
      <w:hyperlink r:id="rId5" w:history="1">
        <w:r w:rsidRPr="00B04CFA">
          <w:rPr>
            <w:rFonts w:ascii="宋体" w:eastAsia="宋体" w:hAnsi="宋体" w:cs="宋体"/>
            <w:color w:val="2F5895"/>
            <w:kern w:val="0"/>
            <w:sz w:val="24"/>
            <w:szCs w:val="24"/>
            <w:u w:val="single"/>
          </w:rPr>
          <w:t>国企改革</w:t>
        </w:r>
      </w:hyperlink>
      <w:r w:rsidRPr="00B04CFA">
        <w:rPr>
          <w:rFonts w:ascii="宋体" w:eastAsia="宋体" w:hAnsi="宋体" w:cs="宋体"/>
          <w:kern w:val="0"/>
          <w:sz w:val="24"/>
          <w:szCs w:val="24"/>
        </w:rPr>
        <w:t>将提速。今年两会前国资委新闻发布会明确提出十项改革试点,上半年出规划,下半年开始试点。7月14日国资委召开通气会,国企改革试点工作全面铺开,选择7家企业开展国有资本投资公司试点(名单及相关</w:t>
      </w:r>
      <w:hyperlink r:id="rId6" w:history="1">
        <w:r w:rsidRPr="00B04CFA">
          <w:rPr>
            <w:rFonts w:ascii="宋体" w:eastAsia="宋体" w:hAnsi="宋体" w:cs="宋体"/>
            <w:color w:val="2F5895"/>
            <w:kern w:val="0"/>
            <w:sz w:val="24"/>
            <w:szCs w:val="24"/>
            <w:u w:val="single"/>
          </w:rPr>
          <w:t>上市公司</w:t>
        </w:r>
      </w:hyperlink>
      <w:r w:rsidRPr="00B04CFA">
        <w:rPr>
          <w:rFonts w:ascii="宋体" w:eastAsia="宋体" w:hAnsi="宋体" w:cs="宋体"/>
          <w:kern w:val="0"/>
          <w:sz w:val="24"/>
          <w:szCs w:val="24"/>
        </w:rPr>
        <w:t>见附表),意味着国企改革进入提速阶段。</w:t>
      </w:r>
    </w:p>
    <w:p w:rsidR="00B04CFA" w:rsidRPr="00B04CFA" w:rsidRDefault="00B04CFA" w:rsidP="00B04CFA">
      <w:pPr>
        <w:widowControl/>
        <w:spacing w:before="100" w:beforeAutospacing="1" w:after="100" w:afterAutospacing="1"/>
        <w:jc w:val="left"/>
        <w:rPr>
          <w:rFonts w:ascii="宋体" w:eastAsia="宋体" w:hAnsi="宋体" w:cs="宋体"/>
          <w:kern w:val="0"/>
          <w:sz w:val="24"/>
          <w:szCs w:val="24"/>
        </w:rPr>
      </w:pPr>
      <w:r w:rsidRPr="00B04CFA">
        <w:rPr>
          <w:rFonts w:ascii="宋体" w:eastAsia="宋体" w:hAnsi="宋体" w:cs="宋体"/>
          <w:kern w:val="0"/>
          <w:sz w:val="24"/>
          <w:szCs w:val="24"/>
        </w:rPr>
        <w:t>国企改革重点关注三大方向,</w:t>
      </w:r>
      <w:proofErr w:type="gramStart"/>
      <w:r w:rsidRPr="00B04CFA">
        <w:rPr>
          <w:rFonts w:ascii="宋体" w:eastAsia="宋体" w:hAnsi="宋体" w:cs="宋体"/>
          <w:kern w:val="0"/>
          <w:sz w:val="24"/>
          <w:szCs w:val="24"/>
        </w:rPr>
        <w:t>央企重组</w:t>
      </w:r>
      <w:proofErr w:type="gramEnd"/>
      <w:r w:rsidRPr="00B04CFA">
        <w:rPr>
          <w:rFonts w:ascii="宋体" w:eastAsia="宋体" w:hAnsi="宋体" w:cs="宋体"/>
          <w:kern w:val="0"/>
          <w:sz w:val="24"/>
          <w:szCs w:val="24"/>
        </w:rPr>
        <w:t>、垄断领域混合所有制改革和员工持股推进,这是十项改革试点中的重头戏。</w:t>
      </w:r>
      <w:proofErr w:type="gramStart"/>
      <w:r w:rsidRPr="00B04CFA">
        <w:rPr>
          <w:rFonts w:ascii="宋体" w:eastAsia="宋体" w:hAnsi="宋体" w:cs="宋体"/>
          <w:kern w:val="0"/>
          <w:sz w:val="24"/>
          <w:szCs w:val="24"/>
        </w:rPr>
        <w:t>央企重组</w:t>
      </w:r>
      <w:proofErr w:type="gramEnd"/>
      <w:r w:rsidRPr="00B04CFA">
        <w:rPr>
          <w:rFonts w:ascii="宋体" w:eastAsia="宋体" w:hAnsi="宋体" w:cs="宋体"/>
          <w:kern w:val="0"/>
          <w:sz w:val="24"/>
          <w:szCs w:val="24"/>
        </w:rPr>
        <w:t>是推进最快的方向,更值得期待的是垄断</w:t>
      </w:r>
      <w:proofErr w:type="gramStart"/>
      <w:r w:rsidRPr="00B04CFA">
        <w:rPr>
          <w:rFonts w:ascii="宋体" w:eastAsia="宋体" w:hAnsi="宋体" w:cs="宋体"/>
          <w:kern w:val="0"/>
          <w:sz w:val="24"/>
          <w:szCs w:val="24"/>
        </w:rPr>
        <w:t>领域混改和</w:t>
      </w:r>
      <w:proofErr w:type="gramEnd"/>
      <w:r w:rsidRPr="00B04CFA">
        <w:rPr>
          <w:rFonts w:ascii="宋体" w:eastAsia="宋体" w:hAnsi="宋体" w:cs="宋体"/>
          <w:kern w:val="0"/>
          <w:sz w:val="24"/>
          <w:szCs w:val="24"/>
        </w:rPr>
        <w:t>员工持股能有实际突破,这对于国企改革和中国经济转型意义重大。</w:t>
      </w:r>
    </w:p>
    <w:p w:rsidR="00B04CFA" w:rsidRPr="00B04CFA" w:rsidRDefault="00B04CFA" w:rsidP="00B04CFA">
      <w:pPr>
        <w:widowControl/>
        <w:spacing w:before="100" w:beforeAutospacing="1" w:after="100" w:afterAutospacing="1"/>
        <w:jc w:val="left"/>
        <w:rPr>
          <w:rFonts w:ascii="宋体" w:eastAsia="宋体" w:hAnsi="宋体" w:cs="宋体"/>
          <w:kern w:val="0"/>
          <w:sz w:val="24"/>
          <w:szCs w:val="24"/>
        </w:rPr>
      </w:pPr>
      <w:proofErr w:type="gramStart"/>
      <w:r w:rsidRPr="00B04CFA">
        <w:rPr>
          <w:rFonts w:ascii="宋体" w:eastAsia="宋体" w:hAnsi="宋体" w:cs="宋体"/>
          <w:b/>
          <w:bCs/>
          <w:kern w:val="0"/>
          <w:sz w:val="24"/>
          <w:szCs w:val="24"/>
        </w:rPr>
        <w:t>央企重组</w:t>
      </w:r>
      <w:proofErr w:type="gramEnd"/>
      <w:r w:rsidRPr="00B04CFA">
        <w:rPr>
          <w:rFonts w:ascii="宋体" w:eastAsia="宋体" w:hAnsi="宋体" w:cs="宋体"/>
          <w:b/>
          <w:bCs/>
          <w:kern w:val="0"/>
          <w:sz w:val="24"/>
          <w:szCs w:val="24"/>
        </w:rPr>
        <w:t>是推进最快的方向</w:t>
      </w:r>
    </w:p>
    <w:p w:rsidR="00B04CFA" w:rsidRPr="00B04CFA" w:rsidRDefault="00B04CFA" w:rsidP="00B04CFA">
      <w:pPr>
        <w:widowControl/>
        <w:spacing w:before="100" w:beforeAutospacing="1" w:after="100" w:afterAutospacing="1"/>
        <w:jc w:val="left"/>
        <w:rPr>
          <w:rFonts w:ascii="宋体" w:eastAsia="宋体" w:hAnsi="宋体" w:cs="宋体"/>
          <w:kern w:val="0"/>
          <w:sz w:val="24"/>
          <w:szCs w:val="24"/>
        </w:rPr>
      </w:pPr>
      <w:r w:rsidRPr="00B04CFA">
        <w:rPr>
          <w:rFonts w:ascii="宋体" w:eastAsia="宋体" w:hAnsi="宋体" w:cs="宋体"/>
          <w:kern w:val="0"/>
          <w:sz w:val="24"/>
          <w:szCs w:val="24"/>
        </w:rPr>
        <w:t>——</w:t>
      </w:r>
      <w:proofErr w:type="gramStart"/>
      <w:r w:rsidRPr="00B04CFA">
        <w:rPr>
          <w:rFonts w:ascii="宋体" w:eastAsia="宋体" w:hAnsi="宋体" w:cs="宋体"/>
          <w:kern w:val="0"/>
          <w:sz w:val="24"/>
          <w:szCs w:val="24"/>
        </w:rPr>
        <w:t>央企重组</w:t>
      </w:r>
      <w:proofErr w:type="gramEnd"/>
      <w:r w:rsidRPr="00B04CFA">
        <w:rPr>
          <w:rFonts w:ascii="宋体" w:eastAsia="宋体" w:hAnsi="宋体" w:cs="宋体"/>
          <w:kern w:val="0"/>
          <w:sz w:val="24"/>
          <w:szCs w:val="24"/>
        </w:rPr>
        <w:t>是供给</w:t>
      </w:r>
      <w:proofErr w:type="gramStart"/>
      <w:r w:rsidRPr="00B04CFA">
        <w:rPr>
          <w:rFonts w:ascii="宋体" w:eastAsia="宋体" w:hAnsi="宋体" w:cs="宋体"/>
          <w:kern w:val="0"/>
          <w:sz w:val="24"/>
          <w:szCs w:val="24"/>
        </w:rPr>
        <w:t>侧改革</w:t>
      </w:r>
      <w:proofErr w:type="gramEnd"/>
      <w:r w:rsidRPr="00B04CFA">
        <w:rPr>
          <w:rFonts w:ascii="宋体" w:eastAsia="宋体" w:hAnsi="宋体" w:cs="宋体"/>
          <w:kern w:val="0"/>
          <w:sz w:val="24"/>
          <w:szCs w:val="24"/>
        </w:rPr>
        <w:t>和国企改革的共振点,并且相对而言实施阻力比较小,不容易“犯错”。按照试点规划,“2016年兼并重组力度不减,工作量要加大,成果要体现”。2015年重组了6对12家,2016年至今目前已有5组</w:t>
      </w:r>
      <w:proofErr w:type="gramStart"/>
      <w:r w:rsidRPr="00B04CFA">
        <w:rPr>
          <w:rFonts w:ascii="宋体" w:eastAsia="宋体" w:hAnsi="宋体" w:cs="宋体"/>
          <w:kern w:val="0"/>
          <w:sz w:val="24"/>
          <w:szCs w:val="24"/>
        </w:rPr>
        <w:t>10家央企</w:t>
      </w:r>
      <w:proofErr w:type="gramEnd"/>
      <w:r w:rsidRPr="00B04CFA">
        <w:rPr>
          <w:rFonts w:ascii="宋体" w:eastAsia="宋体" w:hAnsi="宋体" w:cs="宋体"/>
          <w:kern w:val="0"/>
          <w:sz w:val="24"/>
          <w:szCs w:val="24"/>
        </w:rPr>
        <w:t>(名单及上市公司见附表)在重组进程中,下半年大概率还有新</w:t>
      </w:r>
      <w:proofErr w:type="gramStart"/>
      <w:r w:rsidRPr="00B04CFA">
        <w:rPr>
          <w:rFonts w:ascii="宋体" w:eastAsia="宋体" w:hAnsi="宋体" w:cs="宋体"/>
          <w:kern w:val="0"/>
          <w:sz w:val="24"/>
          <w:szCs w:val="24"/>
        </w:rPr>
        <w:t>的央企</w:t>
      </w:r>
      <w:proofErr w:type="gramEnd"/>
      <w:r w:rsidRPr="00B04CFA">
        <w:rPr>
          <w:rFonts w:ascii="宋体" w:eastAsia="宋体" w:hAnsi="宋体" w:cs="宋体"/>
          <w:kern w:val="0"/>
          <w:sz w:val="24"/>
          <w:szCs w:val="24"/>
        </w:rPr>
        <w:t>重组推出。</w:t>
      </w:r>
    </w:p>
    <w:p w:rsidR="00B04CFA" w:rsidRPr="00B04CFA" w:rsidRDefault="00B04CFA" w:rsidP="00B04CFA">
      <w:pPr>
        <w:widowControl/>
        <w:spacing w:before="100" w:beforeAutospacing="1" w:after="100" w:afterAutospacing="1"/>
        <w:jc w:val="left"/>
        <w:rPr>
          <w:rFonts w:ascii="宋体" w:eastAsia="宋体" w:hAnsi="宋体" w:cs="宋体"/>
          <w:kern w:val="0"/>
          <w:sz w:val="24"/>
          <w:szCs w:val="24"/>
        </w:rPr>
      </w:pPr>
      <w:r w:rsidRPr="00B04CFA">
        <w:rPr>
          <w:rFonts w:ascii="宋体" w:eastAsia="宋体" w:hAnsi="宋体" w:cs="宋体"/>
          <w:kern w:val="0"/>
          <w:sz w:val="24"/>
          <w:szCs w:val="24"/>
        </w:rPr>
        <w:t>——哪些</w:t>
      </w:r>
      <w:proofErr w:type="gramStart"/>
      <w:r w:rsidRPr="00B04CFA">
        <w:rPr>
          <w:rFonts w:ascii="宋体" w:eastAsia="宋体" w:hAnsi="宋体" w:cs="宋体"/>
          <w:kern w:val="0"/>
          <w:sz w:val="24"/>
          <w:szCs w:val="24"/>
        </w:rPr>
        <w:t>行业央企重组</w:t>
      </w:r>
      <w:proofErr w:type="gramEnd"/>
      <w:r w:rsidRPr="00B04CFA">
        <w:rPr>
          <w:rFonts w:ascii="宋体" w:eastAsia="宋体" w:hAnsi="宋体" w:cs="宋体"/>
          <w:kern w:val="0"/>
          <w:sz w:val="24"/>
          <w:szCs w:val="24"/>
        </w:rPr>
        <w:t>的可能性比较大?2015年初我们提出思路:从大国对外战略出发,海外收入占比高的行业合并动力强,其中</w:t>
      </w:r>
      <w:proofErr w:type="gramStart"/>
      <w:r w:rsidRPr="00B04CFA">
        <w:rPr>
          <w:rFonts w:ascii="宋体" w:eastAsia="宋体" w:hAnsi="宋体" w:cs="宋体"/>
          <w:kern w:val="0"/>
          <w:sz w:val="24"/>
          <w:szCs w:val="24"/>
        </w:rPr>
        <w:t>航运央企合并</w:t>
      </w:r>
      <w:proofErr w:type="gramEnd"/>
      <w:r w:rsidRPr="00B04CFA">
        <w:rPr>
          <w:rFonts w:ascii="宋体" w:eastAsia="宋体" w:hAnsi="宋体" w:cs="宋体"/>
          <w:kern w:val="0"/>
          <w:sz w:val="24"/>
          <w:szCs w:val="24"/>
        </w:rPr>
        <w:t>已经兑现;</w:t>
      </w:r>
      <w:proofErr w:type="gramStart"/>
      <w:r w:rsidRPr="00B04CFA">
        <w:rPr>
          <w:rFonts w:ascii="宋体" w:eastAsia="宋体" w:hAnsi="宋体" w:cs="宋体"/>
          <w:kern w:val="0"/>
          <w:sz w:val="24"/>
          <w:szCs w:val="24"/>
        </w:rPr>
        <w:t>2016年央企合并</w:t>
      </w:r>
      <w:proofErr w:type="gramEnd"/>
      <w:r w:rsidRPr="00B04CFA">
        <w:rPr>
          <w:rFonts w:ascii="宋体" w:eastAsia="宋体" w:hAnsi="宋体" w:cs="宋体"/>
          <w:kern w:val="0"/>
          <w:sz w:val="24"/>
          <w:szCs w:val="24"/>
        </w:rPr>
        <w:t>的</w:t>
      </w:r>
      <w:hyperlink r:id="rId7" w:history="1">
        <w:r w:rsidRPr="00B04CFA">
          <w:rPr>
            <w:rFonts w:ascii="宋体" w:eastAsia="宋体" w:hAnsi="宋体" w:cs="宋体"/>
            <w:color w:val="2F5895"/>
            <w:kern w:val="0"/>
            <w:sz w:val="24"/>
            <w:szCs w:val="24"/>
            <w:u w:val="single"/>
          </w:rPr>
          <w:t>新思路</w:t>
        </w:r>
      </w:hyperlink>
      <w:r w:rsidRPr="00B04CFA">
        <w:rPr>
          <w:rFonts w:ascii="宋体" w:eastAsia="宋体" w:hAnsi="宋体" w:cs="宋体"/>
          <w:kern w:val="0"/>
          <w:sz w:val="24"/>
          <w:szCs w:val="24"/>
        </w:rPr>
        <w:t>是和供给</w:t>
      </w:r>
      <w:proofErr w:type="gramStart"/>
      <w:r w:rsidRPr="00B04CFA">
        <w:rPr>
          <w:rFonts w:ascii="宋体" w:eastAsia="宋体" w:hAnsi="宋体" w:cs="宋体"/>
          <w:kern w:val="0"/>
          <w:sz w:val="24"/>
          <w:szCs w:val="24"/>
        </w:rPr>
        <w:t>侧改革</w:t>
      </w:r>
      <w:proofErr w:type="gramEnd"/>
      <w:r w:rsidRPr="00B04CFA">
        <w:rPr>
          <w:rFonts w:ascii="宋体" w:eastAsia="宋体" w:hAnsi="宋体" w:cs="宋体"/>
          <w:kern w:val="0"/>
          <w:sz w:val="24"/>
          <w:szCs w:val="24"/>
        </w:rPr>
        <w:t>相结合,产能过剩的煤炭、钢铁、</w:t>
      </w:r>
      <w:proofErr w:type="gramStart"/>
      <w:r w:rsidRPr="00B04CFA">
        <w:rPr>
          <w:rFonts w:ascii="宋体" w:eastAsia="宋体" w:hAnsi="宋体" w:cs="宋体"/>
          <w:kern w:val="0"/>
          <w:sz w:val="24"/>
          <w:szCs w:val="24"/>
        </w:rPr>
        <w:t>有色是</w:t>
      </w:r>
      <w:proofErr w:type="gramEnd"/>
      <w:r w:rsidRPr="00B04CFA">
        <w:rPr>
          <w:rFonts w:ascii="宋体" w:eastAsia="宋体" w:hAnsi="宋体" w:cs="宋体"/>
          <w:kern w:val="0"/>
          <w:sz w:val="24"/>
          <w:szCs w:val="24"/>
        </w:rPr>
        <w:t>重点领域,其他不属于过剩行业但是处于竞争性商业类行业也可能通过重组培育龙头(具体行业及上市公司见附表).</w:t>
      </w:r>
    </w:p>
    <w:p w:rsidR="00B04CFA" w:rsidRPr="00B04CFA" w:rsidRDefault="00B04CFA" w:rsidP="00B04CFA">
      <w:pPr>
        <w:widowControl/>
        <w:spacing w:before="100" w:beforeAutospacing="1" w:after="100" w:afterAutospacing="1"/>
        <w:jc w:val="left"/>
        <w:rPr>
          <w:rFonts w:ascii="宋体" w:eastAsia="宋体" w:hAnsi="宋体" w:cs="宋体"/>
          <w:kern w:val="0"/>
          <w:sz w:val="24"/>
          <w:szCs w:val="24"/>
        </w:rPr>
      </w:pPr>
      <w:r w:rsidRPr="00B04CFA">
        <w:rPr>
          <w:rFonts w:ascii="宋体" w:eastAsia="宋体" w:hAnsi="宋体" w:cs="宋体"/>
          <w:b/>
          <w:bCs/>
          <w:kern w:val="0"/>
          <w:sz w:val="24"/>
          <w:szCs w:val="24"/>
        </w:rPr>
        <w:t>垄断领域混合所有制改革带来行业增量机会</w:t>
      </w:r>
    </w:p>
    <w:p w:rsidR="00B04CFA" w:rsidRPr="00B04CFA" w:rsidRDefault="00B04CFA" w:rsidP="00B04CFA">
      <w:pPr>
        <w:widowControl/>
        <w:spacing w:before="100" w:beforeAutospacing="1" w:after="100" w:afterAutospacing="1"/>
        <w:jc w:val="left"/>
        <w:rPr>
          <w:rFonts w:ascii="宋体" w:eastAsia="宋体" w:hAnsi="宋体" w:cs="宋体"/>
          <w:kern w:val="0"/>
          <w:sz w:val="24"/>
          <w:szCs w:val="24"/>
        </w:rPr>
      </w:pPr>
      <w:r w:rsidRPr="00B04CFA">
        <w:rPr>
          <w:rFonts w:ascii="宋体" w:eastAsia="宋体" w:hAnsi="宋体" w:cs="宋体"/>
          <w:kern w:val="0"/>
          <w:sz w:val="24"/>
          <w:szCs w:val="24"/>
        </w:rPr>
        <w:t>——试点规划明确在电力、石油、天然气、铁路、民航、电信、军工等垄断领域,引入非国有资本多元化投资,并且试点中引资规模要达到一定比例。比如</w:t>
      </w:r>
      <w:proofErr w:type="gramStart"/>
      <w:r w:rsidRPr="00B04CFA">
        <w:rPr>
          <w:rFonts w:ascii="宋体" w:eastAsia="宋体" w:hAnsi="宋体" w:cs="宋体"/>
          <w:kern w:val="0"/>
          <w:sz w:val="24"/>
          <w:szCs w:val="24"/>
        </w:rPr>
        <w:t>电改已经</w:t>
      </w:r>
      <w:proofErr w:type="gramEnd"/>
      <w:r w:rsidRPr="00B04CFA">
        <w:rPr>
          <w:rFonts w:ascii="宋体" w:eastAsia="宋体" w:hAnsi="宋体" w:cs="宋体"/>
          <w:kern w:val="0"/>
          <w:sz w:val="24"/>
          <w:szCs w:val="24"/>
        </w:rPr>
        <w:t>尝试性破冰,建立完善的电力交易市场,打破电网的垄断地位,打开万亿级的售电服务市场。</w:t>
      </w:r>
    </w:p>
    <w:p w:rsidR="00B04CFA" w:rsidRPr="00B04CFA" w:rsidRDefault="00B04CFA" w:rsidP="00B04CFA">
      <w:pPr>
        <w:widowControl/>
        <w:spacing w:before="100" w:beforeAutospacing="1" w:after="100" w:afterAutospacing="1"/>
        <w:jc w:val="left"/>
        <w:rPr>
          <w:rFonts w:ascii="宋体" w:eastAsia="宋体" w:hAnsi="宋体" w:cs="宋体"/>
          <w:kern w:val="0"/>
          <w:sz w:val="24"/>
          <w:szCs w:val="24"/>
        </w:rPr>
      </w:pPr>
      <w:r w:rsidRPr="00B04CFA">
        <w:rPr>
          <w:rFonts w:ascii="宋体" w:eastAsia="宋体" w:hAnsi="宋体" w:cs="宋体"/>
          <w:b/>
          <w:bCs/>
          <w:kern w:val="0"/>
          <w:sz w:val="24"/>
          <w:szCs w:val="24"/>
        </w:rPr>
        <w:t>期待员工持股试点指导性文件出台,有望成为国企改革突破口</w:t>
      </w:r>
    </w:p>
    <w:p w:rsidR="00B04CFA" w:rsidRPr="00B04CFA" w:rsidRDefault="00B04CFA" w:rsidP="00B04CFA">
      <w:pPr>
        <w:widowControl/>
        <w:spacing w:before="100" w:beforeAutospacing="1" w:after="100" w:afterAutospacing="1"/>
        <w:jc w:val="left"/>
        <w:rPr>
          <w:rFonts w:ascii="宋体" w:eastAsia="宋体" w:hAnsi="宋体" w:cs="宋体"/>
          <w:kern w:val="0"/>
          <w:sz w:val="24"/>
          <w:szCs w:val="24"/>
        </w:rPr>
      </w:pPr>
      <w:r w:rsidRPr="00B04CFA">
        <w:rPr>
          <w:rFonts w:ascii="宋体" w:eastAsia="宋体" w:hAnsi="宋体" w:cs="宋体"/>
          <w:kern w:val="0"/>
          <w:sz w:val="24"/>
          <w:szCs w:val="24"/>
        </w:rPr>
        <w:lastRenderedPageBreak/>
        <w:t>——首先,7月4日习总书记在全国国有企业改革座谈会做出重要指示,“发挥国有企业各类人才积极性、主动性、创造性,激发各类要素活力”,虽然国资委7月14日通气会并没有提到员工持股计划试点的进度,但是我们认为这并不代表相关规划已经搁置,应当还在推进中。</w:t>
      </w:r>
    </w:p>
    <w:p w:rsidR="00B04CFA" w:rsidRPr="00B04CFA" w:rsidRDefault="00B04CFA" w:rsidP="00B04CFA">
      <w:pPr>
        <w:widowControl/>
        <w:spacing w:before="100" w:beforeAutospacing="1" w:after="100" w:afterAutospacing="1"/>
        <w:jc w:val="left"/>
        <w:rPr>
          <w:rFonts w:ascii="宋体" w:eastAsia="宋体" w:hAnsi="宋体" w:cs="宋体"/>
          <w:kern w:val="0"/>
          <w:sz w:val="24"/>
          <w:szCs w:val="24"/>
        </w:rPr>
      </w:pPr>
      <w:r w:rsidRPr="00B04CFA">
        <w:rPr>
          <w:rFonts w:ascii="宋体" w:eastAsia="宋体" w:hAnsi="宋体" w:cs="宋体"/>
          <w:kern w:val="0"/>
          <w:sz w:val="24"/>
          <w:szCs w:val="24"/>
        </w:rPr>
        <w:t>——第二、按照规划,相关文件印发后,将正式启动首批试点,在中央企业层面选择10户子企业,各省市分别选择10户企业开展试点。若员工持股能够大面积试点,完善激励机制,将有效改善公司治理,改变国企低效运行的现状。</w:t>
      </w:r>
    </w:p>
    <w:p w:rsidR="00B04CFA" w:rsidRPr="00B04CFA" w:rsidRDefault="00B04CFA" w:rsidP="00B04CFA">
      <w:pPr>
        <w:widowControl/>
        <w:spacing w:before="100" w:beforeAutospacing="1" w:after="100" w:afterAutospacing="1"/>
        <w:jc w:val="left"/>
        <w:rPr>
          <w:rFonts w:ascii="宋体" w:eastAsia="宋体" w:hAnsi="宋体" w:cs="宋体"/>
          <w:kern w:val="0"/>
          <w:sz w:val="24"/>
          <w:szCs w:val="24"/>
        </w:rPr>
      </w:pPr>
      <w:r w:rsidRPr="00B04CFA">
        <w:rPr>
          <w:rFonts w:ascii="宋体" w:eastAsia="宋体" w:hAnsi="宋体" w:cs="宋体"/>
          <w:kern w:val="0"/>
          <w:sz w:val="24"/>
          <w:szCs w:val="24"/>
        </w:rPr>
        <w:t>——第三,从投资的角度来讲,这条线索更加容易布局,不需要赌消息,可以从容选择已经公告公司,跟踪基本面变化,享受业绩改善带来的长期回报。</w:t>
      </w:r>
    </w:p>
    <w:p w:rsidR="00B04CFA" w:rsidRPr="00B04CFA" w:rsidRDefault="00B04CFA" w:rsidP="00B04CFA">
      <w:pPr>
        <w:widowControl/>
        <w:spacing w:before="100" w:beforeAutospacing="1" w:after="100" w:afterAutospacing="1"/>
        <w:jc w:val="left"/>
        <w:rPr>
          <w:rFonts w:ascii="宋体" w:eastAsia="宋体" w:hAnsi="宋体" w:cs="宋体"/>
          <w:kern w:val="0"/>
          <w:sz w:val="24"/>
          <w:szCs w:val="24"/>
        </w:rPr>
      </w:pPr>
      <w:r w:rsidRPr="00B04CFA">
        <w:rPr>
          <w:rFonts w:ascii="宋体" w:eastAsia="宋体" w:hAnsi="宋体" w:cs="宋体"/>
          <w:kern w:val="0"/>
          <w:sz w:val="24"/>
          <w:szCs w:val="24"/>
        </w:rPr>
        <w:t>结合行业研究员观点,我们选出国企改革投资组合(见文末图表5),供投资者参考。</w:t>
      </w:r>
    </w:p>
    <w:p w:rsidR="00B04CFA" w:rsidRPr="00B04CFA" w:rsidRDefault="00B04CFA" w:rsidP="00B04CFA">
      <w:pPr>
        <w:widowControl/>
        <w:jc w:val="center"/>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5236210" cy="4338955"/>
            <wp:effectExtent l="19050" t="0" r="2540" b="0"/>
            <wp:docPr id="1" name="图片 1" descr="兴业证券：国企改革提速 吃饭行情将进酒(附图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兴业证券：国企改革提速 吃饭行情将进酒(附图表)"/>
                    <pic:cNvPicPr>
                      <a:picLocks noChangeAspect="1" noChangeArrowheads="1"/>
                    </pic:cNvPicPr>
                  </pic:nvPicPr>
                  <pic:blipFill>
                    <a:blip r:embed="rId8"/>
                    <a:srcRect/>
                    <a:stretch>
                      <a:fillRect/>
                    </a:stretch>
                  </pic:blipFill>
                  <pic:spPr bwMode="auto">
                    <a:xfrm>
                      <a:off x="0" y="0"/>
                      <a:ext cx="5236210" cy="4338955"/>
                    </a:xfrm>
                    <a:prstGeom prst="rect">
                      <a:avLst/>
                    </a:prstGeom>
                    <a:noFill/>
                    <a:ln w="9525">
                      <a:noFill/>
                      <a:miter lim="800000"/>
                      <a:headEnd/>
                      <a:tailEnd/>
                    </a:ln>
                  </pic:spPr>
                </pic:pic>
              </a:graphicData>
            </a:graphic>
          </wp:inline>
        </w:drawing>
      </w:r>
    </w:p>
    <w:p w:rsidR="00B04CFA" w:rsidRPr="00B04CFA" w:rsidRDefault="00B04CFA" w:rsidP="00B04CFA">
      <w:pPr>
        <w:widowControl/>
        <w:jc w:val="center"/>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5236210" cy="4321810"/>
            <wp:effectExtent l="19050" t="0" r="2540" b="0"/>
            <wp:docPr id="2" name="图片 2" descr="兴业证券：国企改革提速 吃饭行情将进酒(附图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兴业证券：国企改革提速 吃饭行情将进酒(附图表)"/>
                    <pic:cNvPicPr>
                      <a:picLocks noChangeAspect="1" noChangeArrowheads="1"/>
                    </pic:cNvPicPr>
                  </pic:nvPicPr>
                  <pic:blipFill>
                    <a:blip r:embed="rId9"/>
                    <a:srcRect/>
                    <a:stretch>
                      <a:fillRect/>
                    </a:stretch>
                  </pic:blipFill>
                  <pic:spPr bwMode="auto">
                    <a:xfrm>
                      <a:off x="0" y="0"/>
                      <a:ext cx="5236210" cy="4321810"/>
                    </a:xfrm>
                    <a:prstGeom prst="rect">
                      <a:avLst/>
                    </a:prstGeom>
                    <a:noFill/>
                    <a:ln w="9525">
                      <a:noFill/>
                      <a:miter lim="800000"/>
                      <a:headEnd/>
                      <a:tailEnd/>
                    </a:ln>
                  </pic:spPr>
                </pic:pic>
              </a:graphicData>
            </a:graphic>
          </wp:inline>
        </w:drawing>
      </w:r>
    </w:p>
    <w:p w:rsidR="00B04CFA" w:rsidRPr="00B04CFA" w:rsidRDefault="00B04CFA" w:rsidP="00B04CFA">
      <w:pPr>
        <w:widowControl/>
        <w:jc w:val="center"/>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5236210" cy="3648710"/>
            <wp:effectExtent l="19050" t="0" r="2540" b="0"/>
            <wp:docPr id="3" name="图片 3" descr="兴业证券：国企改革提速 吃饭行情将进酒(附图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兴业证券：国企改革提速 吃饭行情将进酒(附图表)"/>
                    <pic:cNvPicPr>
                      <a:picLocks noChangeAspect="1" noChangeArrowheads="1"/>
                    </pic:cNvPicPr>
                  </pic:nvPicPr>
                  <pic:blipFill>
                    <a:blip r:embed="rId10"/>
                    <a:srcRect/>
                    <a:stretch>
                      <a:fillRect/>
                    </a:stretch>
                  </pic:blipFill>
                  <pic:spPr bwMode="auto">
                    <a:xfrm>
                      <a:off x="0" y="0"/>
                      <a:ext cx="5236210" cy="3648710"/>
                    </a:xfrm>
                    <a:prstGeom prst="rect">
                      <a:avLst/>
                    </a:prstGeom>
                    <a:noFill/>
                    <a:ln w="9525">
                      <a:noFill/>
                      <a:miter lim="800000"/>
                      <a:headEnd/>
                      <a:tailEnd/>
                    </a:ln>
                  </pic:spPr>
                </pic:pic>
              </a:graphicData>
            </a:graphic>
          </wp:inline>
        </w:drawing>
      </w:r>
    </w:p>
    <w:p w:rsidR="00B04CFA" w:rsidRPr="00B04CFA" w:rsidRDefault="00B04CFA" w:rsidP="00B04CFA">
      <w:pPr>
        <w:widowControl/>
        <w:jc w:val="center"/>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5236210" cy="3217545"/>
            <wp:effectExtent l="19050" t="0" r="2540" b="0"/>
            <wp:docPr id="4" name="图片 4" descr="兴业证券：国企改革提速 吃饭行情将进酒(附图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兴业证券：国企改革提速 吃饭行情将进酒(附图表)"/>
                    <pic:cNvPicPr>
                      <a:picLocks noChangeAspect="1" noChangeArrowheads="1"/>
                    </pic:cNvPicPr>
                  </pic:nvPicPr>
                  <pic:blipFill>
                    <a:blip r:embed="rId11"/>
                    <a:srcRect/>
                    <a:stretch>
                      <a:fillRect/>
                    </a:stretch>
                  </pic:blipFill>
                  <pic:spPr bwMode="auto">
                    <a:xfrm>
                      <a:off x="0" y="0"/>
                      <a:ext cx="5236210" cy="3217545"/>
                    </a:xfrm>
                    <a:prstGeom prst="rect">
                      <a:avLst/>
                    </a:prstGeom>
                    <a:noFill/>
                    <a:ln w="9525">
                      <a:noFill/>
                      <a:miter lim="800000"/>
                      <a:headEnd/>
                      <a:tailEnd/>
                    </a:ln>
                  </pic:spPr>
                </pic:pic>
              </a:graphicData>
            </a:graphic>
          </wp:inline>
        </w:drawing>
      </w:r>
    </w:p>
    <w:p w:rsidR="00B04CFA" w:rsidRPr="00B04CFA" w:rsidRDefault="00B04CFA" w:rsidP="00B04CFA">
      <w:pPr>
        <w:widowControl/>
        <w:jc w:val="center"/>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5236210" cy="4192270"/>
            <wp:effectExtent l="19050" t="0" r="2540" b="0"/>
            <wp:docPr id="5" name="图片 5" descr="兴业证券：国企改革提速 吃饭行情将进酒(附图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兴业证券：国企改革提速 吃饭行情将进酒(附图表)"/>
                    <pic:cNvPicPr>
                      <a:picLocks noChangeAspect="1" noChangeArrowheads="1"/>
                    </pic:cNvPicPr>
                  </pic:nvPicPr>
                  <pic:blipFill>
                    <a:blip r:embed="rId12"/>
                    <a:srcRect/>
                    <a:stretch>
                      <a:fillRect/>
                    </a:stretch>
                  </pic:blipFill>
                  <pic:spPr bwMode="auto">
                    <a:xfrm>
                      <a:off x="0" y="0"/>
                      <a:ext cx="5236210" cy="4192270"/>
                    </a:xfrm>
                    <a:prstGeom prst="rect">
                      <a:avLst/>
                    </a:prstGeom>
                    <a:noFill/>
                    <a:ln w="9525">
                      <a:noFill/>
                      <a:miter lim="800000"/>
                      <a:headEnd/>
                      <a:tailEnd/>
                    </a:ln>
                  </pic:spPr>
                </pic:pic>
              </a:graphicData>
            </a:graphic>
          </wp:inline>
        </w:drawing>
      </w:r>
    </w:p>
    <w:p w:rsidR="00B04CFA" w:rsidRPr="00B04CFA" w:rsidRDefault="00B04CFA" w:rsidP="00B04CFA">
      <w:pPr>
        <w:widowControl/>
        <w:jc w:val="center"/>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5236210" cy="3424555"/>
            <wp:effectExtent l="19050" t="0" r="2540" b="0"/>
            <wp:docPr id="6" name="图片 6" descr="兴业证券：国企改革提速 吃饭行情将进酒(附图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兴业证券：国企改革提速 吃饭行情将进酒(附图表)"/>
                    <pic:cNvPicPr>
                      <a:picLocks noChangeAspect="1" noChangeArrowheads="1"/>
                    </pic:cNvPicPr>
                  </pic:nvPicPr>
                  <pic:blipFill>
                    <a:blip r:embed="rId13"/>
                    <a:srcRect/>
                    <a:stretch>
                      <a:fillRect/>
                    </a:stretch>
                  </pic:blipFill>
                  <pic:spPr bwMode="auto">
                    <a:xfrm>
                      <a:off x="0" y="0"/>
                      <a:ext cx="5236210" cy="3424555"/>
                    </a:xfrm>
                    <a:prstGeom prst="rect">
                      <a:avLst/>
                    </a:prstGeom>
                    <a:noFill/>
                    <a:ln w="9525">
                      <a:noFill/>
                      <a:miter lim="800000"/>
                      <a:headEnd/>
                      <a:tailEnd/>
                    </a:ln>
                  </pic:spPr>
                </pic:pic>
              </a:graphicData>
            </a:graphic>
          </wp:inline>
        </w:drawing>
      </w:r>
    </w:p>
    <w:p w:rsidR="00B04CFA" w:rsidRPr="00B04CFA" w:rsidRDefault="00B04CFA" w:rsidP="00B04CFA">
      <w:pPr>
        <w:widowControl/>
        <w:jc w:val="center"/>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5236210" cy="3666490"/>
            <wp:effectExtent l="19050" t="0" r="2540" b="0"/>
            <wp:docPr id="7" name="图片 7" descr="兴业证券：国企改革提速 吃饭行情将进酒(附图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兴业证券：国企改革提速 吃饭行情将进酒(附图表)"/>
                    <pic:cNvPicPr>
                      <a:picLocks noChangeAspect="1" noChangeArrowheads="1"/>
                    </pic:cNvPicPr>
                  </pic:nvPicPr>
                  <pic:blipFill>
                    <a:blip r:embed="rId14"/>
                    <a:srcRect/>
                    <a:stretch>
                      <a:fillRect/>
                    </a:stretch>
                  </pic:blipFill>
                  <pic:spPr bwMode="auto">
                    <a:xfrm>
                      <a:off x="0" y="0"/>
                      <a:ext cx="5236210" cy="3666490"/>
                    </a:xfrm>
                    <a:prstGeom prst="rect">
                      <a:avLst/>
                    </a:prstGeom>
                    <a:noFill/>
                    <a:ln w="9525">
                      <a:noFill/>
                      <a:miter lim="800000"/>
                      <a:headEnd/>
                      <a:tailEnd/>
                    </a:ln>
                  </pic:spPr>
                </pic:pic>
              </a:graphicData>
            </a:graphic>
          </wp:inline>
        </w:drawing>
      </w:r>
    </w:p>
    <w:p w:rsidR="00B04CFA" w:rsidRPr="00B04CFA" w:rsidRDefault="00B04CFA" w:rsidP="00B04CFA">
      <w:pPr>
        <w:widowControl/>
        <w:jc w:val="center"/>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5236210" cy="4184015"/>
            <wp:effectExtent l="19050" t="0" r="2540" b="0"/>
            <wp:docPr id="8" name="图片 8" descr="兴业证券：国企改革提速 吃饭行情将进酒(附图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兴业证券：国企改革提速 吃饭行情将进酒(附图表)"/>
                    <pic:cNvPicPr>
                      <a:picLocks noChangeAspect="1" noChangeArrowheads="1"/>
                    </pic:cNvPicPr>
                  </pic:nvPicPr>
                  <pic:blipFill>
                    <a:blip r:embed="rId15"/>
                    <a:srcRect/>
                    <a:stretch>
                      <a:fillRect/>
                    </a:stretch>
                  </pic:blipFill>
                  <pic:spPr bwMode="auto">
                    <a:xfrm>
                      <a:off x="0" y="0"/>
                      <a:ext cx="5236210" cy="4184015"/>
                    </a:xfrm>
                    <a:prstGeom prst="rect">
                      <a:avLst/>
                    </a:prstGeom>
                    <a:noFill/>
                    <a:ln w="9525">
                      <a:noFill/>
                      <a:miter lim="800000"/>
                      <a:headEnd/>
                      <a:tailEnd/>
                    </a:ln>
                  </pic:spPr>
                </pic:pic>
              </a:graphicData>
            </a:graphic>
          </wp:inline>
        </w:drawing>
      </w:r>
    </w:p>
    <w:p w:rsidR="003B668C" w:rsidRDefault="003B668C"/>
    <w:sectPr w:rsidR="003B668C" w:rsidSect="003B668C">
      <w:pgSz w:w="11906" w:h="16838"/>
      <w:pgMar w:top="1440" w:right="1800" w:bottom="1440" w:left="1800" w:header="851" w:footer="992" w:gutter="0"/>
      <w:cols w:space="425"/>
      <w:docGrid w:type="lines" w:linePitch="312"/>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43" w:usb2="00000009" w:usb3="00000000" w:csb0="000001FF" w:csb1="00000000"/>
  </w:font>
  <w:font w:name="微软雅黑">
    <w:panose1 w:val="020B0503020204020204"/>
    <w:charset w:val="86"/>
    <w:family w:val="swiss"/>
    <w:pitch w:val="variable"/>
    <w:sig w:usb0="80000287" w:usb1="28CF3C52" w:usb2="00000016" w:usb3="00000000" w:csb0="0004001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
  <w:rsids>
    <w:rsidRoot w:val="00B04CFA"/>
    <w:rsid w:val="003B668C"/>
    <w:rsid w:val="00B04CFA"/>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B668C"/>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semiHidden/>
    <w:unhideWhenUsed/>
    <w:rsid w:val="00B04CFA"/>
    <w:rPr>
      <w:color w:val="0000FF"/>
      <w:u w:val="single"/>
    </w:rPr>
  </w:style>
  <w:style w:type="paragraph" w:styleId="a4">
    <w:name w:val="Normal (Web)"/>
    <w:basedOn w:val="a"/>
    <w:uiPriority w:val="99"/>
    <w:semiHidden/>
    <w:unhideWhenUsed/>
    <w:rsid w:val="00B04CFA"/>
    <w:pPr>
      <w:widowControl/>
      <w:spacing w:before="100" w:beforeAutospacing="1" w:after="100" w:afterAutospacing="1"/>
      <w:jc w:val="left"/>
    </w:pPr>
    <w:rPr>
      <w:rFonts w:ascii="宋体" w:eastAsia="宋体" w:hAnsi="宋体" w:cs="宋体"/>
      <w:kern w:val="0"/>
      <w:sz w:val="24"/>
      <w:szCs w:val="24"/>
    </w:rPr>
  </w:style>
  <w:style w:type="character" w:styleId="a5">
    <w:name w:val="Strong"/>
    <w:basedOn w:val="a0"/>
    <w:uiPriority w:val="22"/>
    <w:qFormat/>
    <w:rsid w:val="00B04CFA"/>
    <w:rPr>
      <w:b/>
      <w:bCs/>
    </w:rPr>
  </w:style>
  <w:style w:type="paragraph" w:styleId="a6">
    <w:name w:val="Balloon Text"/>
    <w:basedOn w:val="a"/>
    <w:link w:val="Char"/>
    <w:uiPriority w:val="99"/>
    <w:semiHidden/>
    <w:unhideWhenUsed/>
    <w:rsid w:val="00B04CFA"/>
    <w:rPr>
      <w:sz w:val="18"/>
      <w:szCs w:val="18"/>
    </w:rPr>
  </w:style>
  <w:style w:type="character" w:customStyle="1" w:styleId="Char">
    <w:name w:val="批注框文本 Char"/>
    <w:basedOn w:val="a0"/>
    <w:link w:val="a6"/>
    <w:uiPriority w:val="99"/>
    <w:semiHidden/>
    <w:rsid w:val="00B04CFA"/>
    <w:rPr>
      <w:sz w:val="18"/>
      <w:szCs w:val="18"/>
    </w:rPr>
  </w:style>
</w:styles>
</file>

<file path=word/webSettings.xml><?xml version="1.0" encoding="utf-8"?>
<w:webSettings xmlns:r="http://schemas.openxmlformats.org/officeDocument/2006/relationships" xmlns:w="http://schemas.openxmlformats.org/wordprocessingml/2006/main">
  <w:divs>
    <w:div w:id="1034111416">
      <w:bodyDiv w:val="1"/>
      <w:marLeft w:val="0"/>
      <w:marRight w:val="0"/>
      <w:marTop w:val="0"/>
      <w:marBottom w:val="0"/>
      <w:divBdr>
        <w:top w:val="none" w:sz="0" w:space="0" w:color="auto"/>
        <w:left w:val="none" w:sz="0" w:space="0" w:color="auto"/>
        <w:bottom w:val="none" w:sz="0" w:space="0" w:color="auto"/>
        <w:right w:val="none" w:sz="0" w:space="0" w:color="auto"/>
      </w:divBdr>
      <w:divsChild>
        <w:div w:id="465201186">
          <w:marLeft w:val="0"/>
          <w:marRight w:val="0"/>
          <w:marTop w:val="0"/>
          <w:marBottom w:val="0"/>
          <w:divBdr>
            <w:top w:val="none" w:sz="0" w:space="0" w:color="auto"/>
            <w:left w:val="none" w:sz="0" w:space="0" w:color="auto"/>
            <w:bottom w:val="single" w:sz="6" w:space="0" w:color="DCDCDC"/>
            <w:right w:val="none" w:sz="0" w:space="0" w:color="auto"/>
          </w:divBdr>
          <w:divsChild>
            <w:div w:id="852186693">
              <w:marLeft w:val="0"/>
              <w:marRight w:val="0"/>
              <w:marTop w:val="0"/>
              <w:marBottom w:val="0"/>
              <w:divBdr>
                <w:top w:val="none" w:sz="0" w:space="0" w:color="auto"/>
                <w:left w:val="none" w:sz="0" w:space="0" w:color="auto"/>
                <w:bottom w:val="none" w:sz="0" w:space="0" w:color="auto"/>
                <w:right w:val="none" w:sz="0" w:space="0" w:color="auto"/>
              </w:divBdr>
            </w:div>
            <w:div w:id="1167794389">
              <w:marLeft w:val="0"/>
              <w:marRight w:val="0"/>
              <w:marTop w:val="0"/>
              <w:marBottom w:val="0"/>
              <w:divBdr>
                <w:top w:val="none" w:sz="0" w:space="0" w:color="auto"/>
                <w:left w:val="none" w:sz="0" w:space="0" w:color="auto"/>
                <w:bottom w:val="none" w:sz="0" w:space="0" w:color="auto"/>
                <w:right w:val="none" w:sz="0" w:space="0" w:color="auto"/>
              </w:divBdr>
              <w:divsChild>
                <w:div w:id="977419885">
                  <w:marLeft w:val="0"/>
                  <w:marRight w:val="0"/>
                  <w:marTop w:val="0"/>
                  <w:marBottom w:val="0"/>
                  <w:divBdr>
                    <w:top w:val="none" w:sz="0" w:space="0" w:color="auto"/>
                    <w:left w:val="none" w:sz="0" w:space="0" w:color="auto"/>
                    <w:bottom w:val="none" w:sz="0" w:space="0" w:color="auto"/>
                    <w:right w:val="none" w:sz="0" w:space="0" w:color="auto"/>
                  </w:divBdr>
                </w:div>
                <w:div w:id="1997952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257682">
          <w:marLeft w:val="0"/>
          <w:marRight w:val="0"/>
          <w:marTop w:val="0"/>
          <w:marBottom w:val="0"/>
          <w:divBdr>
            <w:top w:val="none" w:sz="0" w:space="0" w:color="auto"/>
            <w:left w:val="none" w:sz="0" w:space="0" w:color="auto"/>
            <w:bottom w:val="none" w:sz="0" w:space="0" w:color="auto"/>
            <w:right w:val="none" w:sz="0" w:space="0" w:color="auto"/>
          </w:divBdr>
          <w:divsChild>
            <w:div w:id="384449860">
              <w:marLeft w:val="0"/>
              <w:marRight w:val="0"/>
              <w:marTop w:val="0"/>
              <w:marBottom w:val="0"/>
              <w:divBdr>
                <w:top w:val="none" w:sz="0" w:space="0" w:color="auto"/>
                <w:left w:val="none" w:sz="0" w:space="0" w:color="auto"/>
                <w:bottom w:val="none" w:sz="0" w:space="0" w:color="auto"/>
                <w:right w:val="none" w:sz="0" w:space="0" w:color="auto"/>
              </w:divBdr>
            </w:div>
            <w:div w:id="1677998411">
              <w:marLeft w:val="0"/>
              <w:marRight w:val="0"/>
              <w:marTop w:val="0"/>
              <w:marBottom w:val="0"/>
              <w:divBdr>
                <w:top w:val="none" w:sz="0" w:space="0" w:color="auto"/>
                <w:left w:val="none" w:sz="0" w:space="0" w:color="auto"/>
                <w:bottom w:val="none" w:sz="0" w:space="0" w:color="auto"/>
                <w:right w:val="none" w:sz="0" w:space="0" w:color="auto"/>
              </w:divBdr>
            </w:div>
          </w:divsChild>
        </w:div>
        <w:div w:id="2073043484">
          <w:marLeft w:val="0"/>
          <w:marRight w:val="0"/>
          <w:marTop w:val="0"/>
          <w:marBottom w:val="68"/>
          <w:divBdr>
            <w:top w:val="none" w:sz="0" w:space="0" w:color="auto"/>
            <w:left w:val="none" w:sz="0" w:space="0" w:color="auto"/>
            <w:bottom w:val="none" w:sz="0" w:space="0" w:color="auto"/>
            <w:right w:val="none" w:sz="0" w:space="0" w:color="auto"/>
          </w:divBdr>
        </w:div>
        <w:div w:id="368646415">
          <w:marLeft w:val="0"/>
          <w:marRight w:val="0"/>
          <w:marTop w:val="0"/>
          <w:marBottom w:val="68"/>
          <w:divBdr>
            <w:top w:val="none" w:sz="0" w:space="0" w:color="auto"/>
            <w:left w:val="none" w:sz="0" w:space="0" w:color="auto"/>
            <w:bottom w:val="none" w:sz="0" w:space="0" w:color="auto"/>
            <w:right w:val="none" w:sz="0" w:space="0" w:color="auto"/>
          </w:divBdr>
        </w:div>
        <w:div w:id="1898589794">
          <w:marLeft w:val="0"/>
          <w:marRight w:val="0"/>
          <w:marTop w:val="0"/>
          <w:marBottom w:val="68"/>
          <w:divBdr>
            <w:top w:val="none" w:sz="0" w:space="0" w:color="auto"/>
            <w:left w:val="none" w:sz="0" w:space="0" w:color="auto"/>
            <w:bottom w:val="none" w:sz="0" w:space="0" w:color="auto"/>
            <w:right w:val="none" w:sz="0" w:space="0" w:color="auto"/>
          </w:divBdr>
        </w:div>
        <w:div w:id="1792245388">
          <w:marLeft w:val="0"/>
          <w:marRight w:val="0"/>
          <w:marTop w:val="0"/>
          <w:marBottom w:val="68"/>
          <w:divBdr>
            <w:top w:val="none" w:sz="0" w:space="0" w:color="auto"/>
            <w:left w:val="none" w:sz="0" w:space="0" w:color="auto"/>
            <w:bottom w:val="none" w:sz="0" w:space="0" w:color="auto"/>
            <w:right w:val="none" w:sz="0" w:space="0" w:color="auto"/>
          </w:divBdr>
        </w:div>
        <w:div w:id="16976707">
          <w:marLeft w:val="0"/>
          <w:marRight w:val="0"/>
          <w:marTop w:val="0"/>
          <w:marBottom w:val="68"/>
          <w:divBdr>
            <w:top w:val="none" w:sz="0" w:space="0" w:color="auto"/>
            <w:left w:val="none" w:sz="0" w:space="0" w:color="auto"/>
            <w:bottom w:val="none" w:sz="0" w:space="0" w:color="auto"/>
            <w:right w:val="none" w:sz="0" w:space="0" w:color="auto"/>
          </w:divBdr>
        </w:div>
        <w:div w:id="394593357">
          <w:marLeft w:val="0"/>
          <w:marRight w:val="0"/>
          <w:marTop w:val="0"/>
          <w:marBottom w:val="68"/>
          <w:divBdr>
            <w:top w:val="none" w:sz="0" w:space="0" w:color="auto"/>
            <w:left w:val="none" w:sz="0" w:space="0" w:color="auto"/>
            <w:bottom w:val="none" w:sz="0" w:space="0" w:color="auto"/>
            <w:right w:val="none" w:sz="0" w:space="0" w:color="auto"/>
          </w:divBdr>
        </w:div>
        <w:div w:id="98457609">
          <w:marLeft w:val="0"/>
          <w:marRight w:val="0"/>
          <w:marTop w:val="0"/>
          <w:marBottom w:val="68"/>
          <w:divBdr>
            <w:top w:val="none" w:sz="0" w:space="0" w:color="auto"/>
            <w:left w:val="none" w:sz="0" w:space="0" w:color="auto"/>
            <w:bottom w:val="none" w:sz="0" w:space="0" w:color="auto"/>
            <w:right w:val="none" w:sz="0" w:space="0" w:color="auto"/>
          </w:divBdr>
        </w:div>
        <w:div w:id="1856921491">
          <w:marLeft w:val="0"/>
          <w:marRight w:val="0"/>
          <w:marTop w:val="0"/>
          <w:marBottom w:val="68"/>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3" Type="http://schemas.openxmlformats.org/officeDocument/2006/relationships/webSettings" Target="webSettings.xml"/><Relationship Id="rId7" Type="http://schemas.openxmlformats.org/officeDocument/2006/relationships/hyperlink" Target="http://m2.quote.eastmoney.com/stock?id=8313392" TargetMode="External"/><Relationship Id="rId12" Type="http://schemas.openxmlformats.org/officeDocument/2006/relationships/image" Target="media/image5.jpe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hyperlink" Target="http://topic.eastmoney.com/yjb2016/" TargetMode="External"/><Relationship Id="rId11" Type="http://schemas.openxmlformats.org/officeDocument/2006/relationships/image" Target="media/image4.jpeg"/><Relationship Id="rId5" Type="http://schemas.openxmlformats.org/officeDocument/2006/relationships/hyperlink" Target="http://wap.eastmoney.com/3g/stock/StockIndex,399974.shtml" TargetMode="External"/><Relationship Id="rId15" Type="http://schemas.openxmlformats.org/officeDocument/2006/relationships/image" Target="media/image8.jpeg"/><Relationship Id="rId10" Type="http://schemas.openxmlformats.org/officeDocument/2006/relationships/image" Target="media/image3.jpeg"/><Relationship Id="rId4" Type="http://schemas.openxmlformats.org/officeDocument/2006/relationships/hyperlink" Target="javascript:void(0);" TargetMode="External"/><Relationship Id="rId9" Type="http://schemas.openxmlformats.org/officeDocument/2006/relationships/image" Target="media/image2.jpeg"/><Relationship Id="rId14" Type="http://schemas.openxmlformats.org/officeDocument/2006/relationships/image" Target="media/image7.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6</Pages>
  <Words>214</Words>
  <Characters>1223</Characters>
  <Application>Microsoft Office Word</Application>
  <DocSecurity>0</DocSecurity>
  <Lines>10</Lines>
  <Paragraphs>2</Paragraphs>
  <ScaleCrop>false</ScaleCrop>
  <Company/>
  <LinksUpToDate>false</LinksUpToDate>
  <CharactersWithSpaces>1435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jun tian</dc:creator>
  <cp:lastModifiedBy>jun tian</cp:lastModifiedBy>
  <cp:revision>1</cp:revision>
  <dcterms:created xsi:type="dcterms:W3CDTF">2016-08-04T14:59:00Z</dcterms:created>
  <dcterms:modified xsi:type="dcterms:W3CDTF">2016-08-04T15:01:00Z</dcterms:modified>
</cp:coreProperties>
</file>