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A63C" w14:textId="77777777" w:rsidR="0019557E" w:rsidRPr="0019557E" w:rsidRDefault="0019557E" w:rsidP="0019557E">
      <w:pPr>
        <w:widowControl/>
        <w:shd w:val="clear" w:color="auto" w:fill="FFFFFF"/>
        <w:spacing w:after="225" w:line="480" w:lineRule="atLeast"/>
        <w:outlineLvl w:val="0"/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</w:pPr>
      <w:r w:rsidRPr="0019557E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更新：公司是品牌和规模显著领先的龙头，正通过新市场和新渠道继续打开成长空间，</w:t>
      </w:r>
      <w:r w:rsidRPr="0019557E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3</w:t>
      </w:r>
      <w:r w:rsidRPr="0019557E">
        <w:rPr>
          <w:rFonts w:ascii="PingFangSC-Medium" w:eastAsia="宋体" w:hAnsi="PingFangSC-Medium" w:cs="宋体"/>
          <w:b/>
          <w:bCs/>
          <w:color w:val="333333"/>
          <w:kern w:val="36"/>
          <w:sz w:val="33"/>
          <w:szCs w:val="33"/>
        </w:rPr>
        <w:t>季度出现拐点，拟回购股份注销，彰显公司发展信心</w:t>
      </w:r>
    </w:p>
    <w:p w14:paraId="535015C0" w14:textId="75107700" w:rsidR="0019557E" w:rsidRPr="0019557E" w:rsidRDefault="0019557E" w:rsidP="0019557E">
      <w:pPr>
        <w:widowControl/>
        <w:shd w:val="clear" w:color="auto" w:fill="FFFFFF"/>
        <w:rPr>
          <w:rFonts w:ascii="微软雅黑" w:eastAsia="微软雅黑" w:hAnsi="微软雅黑" w:cs="宋体"/>
          <w:color w:val="3D7DFF"/>
          <w:kern w:val="0"/>
          <w:szCs w:val="21"/>
        </w:rPr>
      </w:pPr>
      <w:r w:rsidRPr="0019557E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19557E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"https://m-robo.datayes.com/mall/goods/detail/column?columnId=209" </w:instrText>
      </w:r>
      <w:r w:rsidRPr="0019557E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19557E">
        <w:rPr>
          <w:rFonts w:ascii="微软雅黑" w:eastAsia="微软雅黑" w:hAnsi="微软雅黑" w:cs="宋体"/>
          <w:noProof/>
          <w:color w:val="3D7DFF"/>
          <w:kern w:val="0"/>
          <w:szCs w:val="21"/>
        </w:rPr>
        <w:drawing>
          <wp:inline distT="0" distB="0" distL="0" distR="0" wp14:anchorId="2A14BFB3" wp14:editId="587AAB74">
            <wp:extent cx="1143000" cy="1143000"/>
            <wp:effectExtent l="0" t="0" r="0" b="0"/>
            <wp:docPr id="2" name="图片 2" descr="专栏头像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专栏头像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4B4E" w14:textId="77777777" w:rsidR="0019557E" w:rsidRPr="0019557E" w:rsidRDefault="0019557E" w:rsidP="0019557E">
      <w:pPr>
        <w:widowControl/>
        <w:shd w:val="clear" w:color="auto" w:fill="FFFFFF"/>
        <w:spacing w:before="45"/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王牌脱水研报（体验专用，限指定用户）</w:t>
      </w:r>
    </w:p>
    <w:p w14:paraId="5CD8C008" w14:textId="77777777" w:rsidR="0019557E" w:rsidRPr="0019557E" w:rsidRDefault="0019557E" w:rsidP="0019557E">
      <w:pPr>
        <w:widowControl/>
        <w:shd w:val="clear" w:color="auto" w:fill="FFFFFF"/>
        <w:spacing w:before="60"/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</w:pPr>
      <w:r w:rsidRPr="0019557E">
        <w:rPr>
          <w:rFonts w:ascii="微软雅黑" w:eastAsia="微软雅黑" w:hAnsi="微软雅黑" w:cs="宋体" w:hint="eastAsia"/>
          <w:color w:val="A5A5A5"/>
          <w:kern w:val="0"/>
          <w:sz w:val="18"/>
          <w:szCs w:val="18"/>
        </w:rPr>
        <w:t>2020-12-24</w:t>
      </w:r>
    </w:p>
    <w:p w14:paraId="024BE4CD" w14:textId="77777777" w:rsidR="0019557E" w:rsidRPr="0019557E" w:rsidRDefault="0019557E" w:rsidP="0019557E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9557E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19557E">
        <w:rPr>
          <w:rFonts w:ascii="微软雅黑" w:eastAsia="微软雅黑" w:hAnsi="微软雅黑" w:cs="宋体" w:hint="eastAsia"/>
          <w:color w:val="FFFFFF"/>
          <w:kern w:val="0"/>
          <w:szCs w:val="21"/>
          <w:bdr w:val="none" w:sz="0" w:space="0" w:color="auto" w:frame="1"/>
          <w:shd w:val="clear" w:color="auto" w:fill="3D7DFF"/>
        </w:rPr>
        <w:t>+关注</w:t>
      </w:r>
    </w:p>
    <w:p w14:paraId="3495438C" w14:textId="77777777" w:rsidR="0019557E" w:rsidRPr="0019557E" w:rsidRDefault="0019557E" w:rsidP="0019557E">
      <w:pPr>
        <w:widowControl/>
        <w:shd w:val="clear" w:color="auto" w:fill="FFFFFF"/>
        <w:outlineLvl w:val="2"/>
        <w:rPr>
          <w:rFonts w:ascii="PingFangSC-Medium" w:eastAsia="微软雅黑" w:hAnsi="PingFangSC-Medium" w:cs="宋体" w:hint="eastAsia"/>
          <w:b/>
          <w:bCs/>
          <w:color w:val="333333"/>
          <w:kern w:val="0"/>
          <w:sz w:val="27"/>
          <w:szCs w:val="27"/>
        </w:rPr>
      </w:pPr>
      <w:r w:rsidRPr="0019557E">
        <w:rPr>
          <w:rFonts w:ascii="PingFangSC-Medium" w:eastAsia="微软雅黑" w:hAnsi="PingFangSC-Medium" w:cs="宋体"/>
          <w:b/>
          <w:bCs/>
          <w:color w:val="333333"/>
          <w:kern w:val="0"/>
          <w:sz w:val="27"/>
          <w:szCs w:val="27"/>
        </w:rPr>
        <w:t>线索主要标的</w:t>
      </w:r>
    </w:p>
    <w:p w14:paraId="5D4D18BE" w14:textId="77777777" w:rsidR="0019557E" w:rsidRPr="0019557E" w:rsidRDefault="0019557E" w:rsidP="0019557E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9557E">
        <w:rPr>
          <w:rFonts w:ascii="微软雅黑" w:eastAsia="微软雅黑" w:hAnsi="微软雅黑" w:cs="宋体" w:hint="eastAsia"/>
          <w:color w:val="FF4439"/>
          <w:kern w:val="0"/>
          <w:sz w:val="18"/>
          <w:szCs w:val="18"/>
          <w:shd w:val="clear" w:color="auto" w:fill="FFEBEA"/>
        </w:rPr>
        <w:t>正面</w:t>
      </w:r>
    </w:p>
    <w:p w14:paraId="71BB1B6B" w14:textId="77777777" w:rsidR="0019557E" w:rsidRPr="0019557E" w:rsidRDefault="0019557E" w:rsidP="0019557E">
      <w:pPr>
        <w:widowControl/>
        <w:shd w:val="clear" w:color="auto" w:fill="FFFFFF"/>
        <w:spacing w:line="240" w:lineRule="atLeas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6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18"/>
            <w:szCs w:val="18"/>
          </w:rPr>
          <w:t>兔宝宝 </w:t>
        </w:r>
        <w:r w:rsidRPr="0019557E">
          <w:rPr>
            <w:rFonts w:ascii="微软雅黑" w:eastAsia="微软雅黑" w:hAnsi="微软雅黑" w:cs="宋体" w:hint="eastAsia"/>
            <w:color w:val="FF4439"/>
            <w:kern w:val="0"/>
            <w:sz w:val="18"/>
            <w:szCs w:val="18"/>
          </w:rPr>
          <w:t>+1.93%</w:t>
        </w:r>
      </w:hyperlink>
    </w:p>
    <w:p w14:paraId="3217D561" w14:textId="77777777" w:rsidR="0019557E" w:rsidRPr="0019557E" w:rsidRDefault="0019557E" w:rsidP="0019557E">
      <w:pPr>
        <w:widowControl/>
        <w:shd w:val="clear" w:color="auto" w:fill="F3F7FC"/>
        <w:spacing w:line="390" w:lineRule="atLeast"/>
        <w:rPr>
          <w:rFonts w:ascii="微软雅黑" w:eastAsia="微软雅黑" w:hAnsi="微软雅黑" w:cs="宋体" w:hint="eastAsia"/>
          <w:color w:val="2B2B2B"/>
          <w:kern w:val="0"/>
          <w:szCs w:val="21"/>
        </w:rPr>
      </w:pPr>
      <w:r w:rsidRPr="0019557E">
        <w:rPr>
          <w:rFonts w:ascii="微软雅黑" w:eastAsia="微软雅黑" w:hAnsi="微软雅黑" w:cs="宋体" w:hint="eastAsia"/>
          <w:b/>
          <w:bCs/>
          <w:color w:val="2B2B2B"/>
          <w:kern w:val="0"/>
          <w:szCs w:val="21"/>
        </w:rPr>
        <w:t>线索摘要：</w:t>
      </w:r>
      <w:r w:rsidRPr="0019557E">
        <w:rPr>
          <w:rFonts w:ascii="微软雅黑" w:eastAsia="微软雅黑" w:hAnsi="微软雅黑" w:cs="宋体" w:hint="eastAsia"/>
          <w:color w:val="2B2B2B"/>
          <w:kern w:val="0"/>
          <w:szCs w:val="21"/>
        </w:rPr>
        <w:t>1、行业趋势：精装房占比不断提高，压缩装饰板材的零售市场向B端转型 2、公司概况：装饰板材行业龙头企业，前三季度业绩归母净利润下降，但符合市场预期 3、公司现状：公司处于转型家居成品拐点期，差异化竞争，C端和B端有望双发力 4、利好催化：拟回购股份注销，彰显公司发展信心 5、盈利预测：券商维持“买入”评级</w:t>
      </w:r>
    </w:p>
    <w:p w14:paraId="5761A74E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一、行业趋势：精装房占比不断提高，压缩装饰板材的零售市场向B端转型</w:t>
      </w:r>
    </w:p>
    <w:p w14:paraId="585C3699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1、全国连锁、品牌化的定制家具企业崛起，倒逼品牌装饰板材企业往成品化、定制化发展</w:t>
      </w:r>
    </w:p>
    <w:p w14:paraId="64A76E8F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国连锁、品牌化的定制家具企业崛起，市场渗透率持续提高，压缩了品牌装饰板材企业的零售市场空间（消费者直接选择成品定制品牌，省时省力，从而减少了采购品牌装饰板材再去加工的需求），使得装饰板材市场B端化（装饰板材企</w:t>
      </w: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业从直接卖给消费者变成卖给定制家具企业），倒逼品牌装饰板材企业往成品化、定制化发展。</w:t>
      </w:r>
    </w:p>
    <w:p w14:paraId="06496222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2、精装房占比不断提高，压缩装饰板材的零售市场向B端转型</w:t>
      </w:r>
    </w:p>
    <w:p w14:paraId="48466155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奥维云网统计，精装修房屋中，橱柜和浴室柜为精装修标配，配套率超过99%。精装房（或全装房）导致成品家具的采购从业主变为房开商，成品家具的零售市场也被压缩（C端零售市场需求切换到B端工程市场去了），同时也进一步压缩了装饰板材的零售市场（精装修化间接促进成品化）。</w:t>
      </w:r>
    </w:p>
    <w:p w14:paraId="4F10CF72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二、公司概况：装饰板材行业龙头企业，前三季度业绩归母净利润下降，但符合市场预期</w:t>
      </w:r>
    </w:p>
    <w:p w14:paraId="52F332E3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1、公司是一家以木制品室内装饰材料为主体的综合服务商，定制类家具产业链不断完善 </w:t>
      </w:r>
    </w:p>
    <w:p w14:paraId="56F40C93" w14:textId="77777777" w:rsidR="0019557E" w:rsidRPr="0019557E" w:rsidRDefault="0019557E" w:rsidP="0019557E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7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兔宝宝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自成立之初一直致力于研发和生产环保性、功能性装饰板材，引领行业商业模式，品牌影响力在行业中处于领先地位。经过二十多年的发展，</w:t>
      </w:r>
      <w:hyperlink r:id="rId8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兔宝宝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装饰材料业务成为国内销售规模最大、渠道覆盖最广、专卖店数量最多、经营品种最全的装饰板材行业龙头企业。2018年公司收入43亿元，考虑到公司部分板材业务贴牌生产的特殊性，将品牌授权B类收入折算后的营业收入为76亿元；采用折算后口径，2008-2018年收入复合增速达到23.2%；2008-2018年归母净利复合增速达到28.7%。 </w:t>
      </w:r>
    </w:p>
    <w:p w14:paraId="6B9342A2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2、员工持股计划给予公司发展动力，彰显管理层发展信心 </w:t>
      </w:r>
    </w:p>
    <w:p w14:paraId="0B703BE3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2020年10月8日，公司公告第一期员工持股计划（草案），参与对象包括董高监9人，其他核心骨干员工231人（占员工持股计划份额75.6%）。拟受让股票不超过1549.4万股（约占总股本2.00%），拟受让价为5.25元/股，分三期按40%/30%/30%解锁，解锁条件是：以2019年归母扣非净利润为基数，公司2020年、2021年、2022年的归母扣非净利润增长率分别不低于30%、60%、90%。</w:t>
      </w:r>
    </w:p>
    <w:p w14:paraId="6BB630D4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3、前三季度业绩归母净利润下降，但符合市场预期</w:t>
      </w:r>
    </w:p>
    <w:p w14:paraId="477C2C27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2020年前三季度公司实现收入38.39亿，同增19.66%，归母净利润1.93亿元，同比降低23.81%，EPS 0.26元，符合市场预期。</w:t>
      </w:r>
    </w:p>
    <w:p w14:paraId="01B6A6D1" w14:textId="73BA8D8F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90AEC92" wp14:editId="40756BEF">
            <wp:extent cx="4381500" cy="3406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60D0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三、公司现状：公司处于转型家居成品拐点期，差异化竞争，C端和B端有望双发力</w:t>
      </w:r>
    </w:p>
    <w:p w14:paraId="0FD0F0F2" w14:textId="77777777" w:rsidR="0019557E" w:rsidRPr="0019557E" w:rsidRDefault="0019557E" w:rsidP="0019557E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兔宝宝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季度装饰板材主业开始出现强劲复苏，单三季度（折算为A类）同比超25%，前三季度装饰板材收入（折算为A类）基本持平，预计今年四季度和明年上半年消费建材2C业务继续保持复苏弹性。公司已是品牌和规模显著领先的装饰板材行业龙头，公司正在通过新市场和新渠道继续打开装饰板材业务成长空间。公司正处于从装饰材料向家居成品转型的拐点期，易装模式今年已形成了成熟的、易于推广的“1+N”社区店模式，差异化竞争，明年有望进入快速复制期，门店数量快速增长，订单和规模逐渐放量，具备战略价值。裕丰汉唐（优菲）专注精装房工程渠道，持续拓展新客户的同时优化调整客户结构，正处于快速放量期，且随着规模效应显现及品类进一步拓展，裕丰汉唐盈利能力有望提升。</w:t>
      </w:r>
    </w:p>
    <w:p w14:paraId="5DB8352D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四、利好催化：拟回购股份注销，彰显公司发展信心</w:t>
      </w:r>
    </w:p>
    <w:p w14:paraId="7EDCE133" w14:textId="77777777" w:rsidR="0019557E" w:rsidRPr="0019557E" w:rsidRDefault="0019557E" w:rsidP="0019557E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1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兔宝宝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2020/12/23发布的公告，公司拟使用自有资金1.5-3亿元以集中竞价交易方式回购公司股份，回购价不超过10元/股，按10元/股测算预计可回购1500-3000万股，占总股本1.94%-3.87%；回购股份将用于注销并减少注册资本。本次回购基于对公司未来发展前景的信心和对公司价值的高度认可，综合考虑公司近期股票二级市场表现，并结合公司经营情况、主营业务发展前景、公司财务状况以及未来的盈利能力，有利于维护广大投资者的利益，增强投资者信心。</w:t>
      </w:r>
    </w:p>
    <w:p w14:paraId="7AB86A45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五、盈利预测：券商维持“买入”评级</w:t>
      </w:r>
    </w:p>
    <w:p w14:paraId="0FD1C5F1" w14:textId="77777777" w:rsidR="0019557E" w:rsidRPr="0019557E" w:rsidRDefault="0019557E" w:rsidP="0019557E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2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广发证券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：我们预计20-22年EPS分别为0.54/0.81/1.05元/股，对应PE分别为14.7x/9.9x/7.7x，参考可比公司估值，维持公司合理价值20.14元/股的判断，对应21年PE 25x，维持“买入”评级。</w:t>
      </w:r>
    </w:p>
    <w:p w14:paraId="7DA35F2D" w14:textId="77777777" w:rsidR="0019557E" w:rsidRPr="0019557E" w:rsidRDefault="0019557E" w:rsidP="0019557E">
      <w:pPr>
        <w:widowControl/>
        <w:shd w:val="clear" w:color="auto" w:fill="FFFFFF"/>
        <w:spacing w:after="27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风险提示：裕丰汉唐和易装不及预期；本回购方案存在无法实施风险。</w:t>
      </w:r>
    </w:p>
    <w:p w14:paraId="7F873D20" w14:textId="77777777" w:rsidR="0019557E" w:rsidRPr="0019557E" w:rsidRDefault="0019557E" w:rsidP="0019557E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说明：王牌研报在2020年1月8日、2月26日均覆盖过</w:t>
      </w:r>
      <w:hyperlink r:id="rId13" w:tgtFrame="_blank" w:history="1">
        <w:r w:rsidRPr="0019557E">
          <w:rPr>
            <w:rFonts w:ascii="微软雅黑" w:eastAsia="微软雅黑" w:hAnsi="微软雅黑" w:cs="宋体" w:hint="eastAsia"/>
            <w:color w:val="3D7DFF"/>
            <w:kern w:val="0"/>
            <w:sz w:val="24"/>
            <w:szCs w:val="24"/>
          </w:rPr>
          <w:t>兔宝宝</w:t>
        </w:r>
      </w:hyperlink>
      <w:r w:rsidRPr="0019557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，其中2月26日给的目标价为10.54元/股。</w:t>
      </w:r>
    </w:p>
    <w:p w14:paraId="0D5FAA01" w14:textId="550B359E" w:rsidR="00D25CD3" w:rsidRPr="0019557E" w:rsidRDefault="00D25CD3"/>
    <w:sectPr w:rsidR="00D25CD3" w:rsidRPr="0019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E"/>
    <w:rsid w:val="0019557E"/>
    <w:rsid w:val="00D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BA33"/>
  <w15:chartTrackingRefBased/>
  <w15:docId w15:val="{197CCA6E-D04F-4502-9230-51962B42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55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95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5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19557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9557E"/>
    <w:rPr>
      <w:color w:val="0000FF"/>
      <w:u w:val="single"/>
    </w:rPr>
  </w:style>
  <w:style w:type="paragraph" w:customStyle="1" w:styleId="column-name">
    <w:name w:val="column-name"/>
    <w:basedOn w:val="a"/>
    <w:rsid w:val="0019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-desc">
    <w:name w:val="column-desc"/>
    <w:basedOn w:val="a"/>
    <w:rsid w:val="0019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umn-btn-attention">
    <w:name w:val="column-btn-attention"/>
    <w:basedOn w:val="a0"/>
    <w:rsid w:val="0019557E"/>
  </w:style>
  <w:style w:type="character" w:customStyle="1" w:styleId="label">
    <w:name w:val="label"/>
    <w:basedOn w:val="a0"/>
    <w:rsid w:val="0019557E"/>
  </w:style>
  <w:style w:type="character" w:customStyle="1" w:styleId="target-name">
    <w:name w:val="target-name"/>
    <w:basedOn w:val="a0"/>
    <w:rsid w:val="0019557E"/>
  </w:style>
  <w:style w:type="paragraph" w:styleId="a4">
    <w:name w:val="Normal (Web)"/>
    <w:basedOn w:val="a"/>
    <w:uiPriority w:val="99"/>
    <w:semiHidden/>
    <w:unhideWhenUsed/>
    <w:rsid w:val="00195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903">
          <w:marLeft w:val="0"/>
          <w:marRight w:val="0"/>
          <w:marTop w:val="225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71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-mobile.wmcloud.com/company/companyMarketDetail?ticker=002043&amp;stockName=%E5%85%94%E5%AE%9D%E5%AE%9D" TargetMode="External"/><Relationship Id="rId13" Type="http://schemas.openxmlformats.org/officeDocument/2006/relationships/hyperlink" Target="https://rs-mobile.wmcloud.com/company/companyMarketDetail?ticker=002043&amp;stockName=%E5%85%94%E5%AE%9D%E5%AE%9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s-mobile.wmcloud.com/company/companyMarketDetail?ticker=002043&amp;stockName=%E5%85%94%E5%AE%9D%E5%AE%9D" TargetMode="External"/><Relationship Id="rId12" Type="http://schemas.openxmlformats.org/officeDocument/2006/relationships/hyperlink" Target="https://rs-mobile.wmcloud.com/company/companyMarketDetail?ticker=000776&amp;stockName=%E5%B9%BF%E5%8F%91%E8%AF%81%E5%88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s-mobile.wmcloud.com/company/companyMarketDetail?ticker=002043&amp;stockName=%E5%85%94%E5%AE%9D%E5%AE%9D" TargetMode="External"/><Relationship Id="rId11" Type="http://schemas.openxmlformats.org/officeDocument/2006/relationships/hyperlink" Target="https://rs-mobile.wmcloud.com/company/companyMarketDetail?ticker=002043&amp;stockName=%E5%85%94%E5%AE%9D%E5%AE%9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s-mobile.wmcloud.com/company/companyMarketDetail?ticker=002043&amp;stockName=%E5%85%94%E5%AE%9D%E5%AE%9D" TargetMode="External"/><Relationship Id="rId4" Type="http://schemas.openxmlformats.org/officeDocument/2006/relationships/hyperlink" Target="https://m-robo.datayes.com/mall/goods/detail/column?columnId=209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2020-12-27T12:19:00Z</dcterms:created>
  <dcterms:modified xsi:type="dcterms:W3CDTF">2020-12-27T12:20:00Z</dcterms:modified>
</cp:coreProperties>
</file>